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3"/>
        <w:jc w:val="center"/>
      </w:pPr>
      <w:r>
        <w:rPr>
          <w:b/>
          <w:color w:val="000000"/>
          <w:u w:val="none"/>
        </w:rPr>
        <w:t>CUBEXA</w:t>
      </w:r>
    </w:p>
    <w:p>
      <w:pPr>
        <w:spacing w:after="1520"/>
      </w:pPr>
    </w:p>
    <w:p>
      <w:pPr>
        <w:jc w:val="center"/>
      </w:pPr>
      <w:r>
        <w:rPr>
          <w:b/>
          <w:color w:val="C58B2A"/>
          <w:sz w:val="20"/>
        </w:rPr>
        <w:t>GUIA OPERACIONAL</w:t>
      </w:r>
    </w:p>
    <w:p>
      <w:pPr>
        <w:pStyle w:val="Title"/>
        <w:jc w:val="center"/>
      </w:pPr>
      <w:r>
        <w:rPr>
          <w:b/>
          <w:color w:val="000000"/>
          <w:u w:val="none"/>
        </w:rPr>
        <w:t>Manual do Usuário da Cubexa Versão 1 2 0</w:t>
      </w:r>
    </w:p>
    <w:p>
      <w:pPr>
        <w:pStyle w:val="Subtitle"/>
        <w:jc w:val="center"/>
      </w:pPr>
      <w:r>
        <w:t>Procedimentos do dia a dia, administração e proteção dos dados</w:t>
      </w:r>
    </w:p>
    <w:p>
      <w:pPr>
        <w:spacing w:after="1760"/>
      </w:pPr>
    </w:p>
    <w:p>
      <w:pPr>
        <w:jc w:val="center"/>
      </w:pPr>
      <w:r>
        <w:rPr>
          <w:b/>
        </w:rPr>
        <w:t>Versão documentada: 1.0.0</w:t>
      </w:r>
    </w:p>
    <w:p>
      <w:pPr>
        <w:jc w:val="center"/>
      </w:pPr>
      <w:r>
        <w:rPr>
          <w:i/>
          <w:color w:val="5B6570"/>
        </w:rPr>
        <w:t>Público: administradores, operadores e usuários de consulta</w:t>
      </w:r>
    </w:p>
    <w:p>
      <w:pPr>
        <w:jc w:val="center"/>
      </w:pPr>
      <w:r>
        <w:t>Emitido em 03/09/2026</w:t>
      </w:r>
    </w:p>
    <w:p>
      <w:r>
        <w:br w:type="page"/>
      </w:r>
    </w:p>
    <w:p>
      <w:pPr>
        <w:pStyle w:val="Heading1"/>
      </w:pPr>
      <w:r>
        <w:rPr>
          <w:b/>
          <w:color w:val="000000"/>
          <w:u w:val="none"/>
        </w:rPr>
        <w:t>Como usar este manual</w:t>
      </w:r>
    </w:p>
    <w:p>
      <w:r>
        <w:t>Os nomes de menus e botões aparecem em negrito no texto. As etapas partem da barra lateral do sistema. Quando uma ação não estiver visível, confirme o perfil do usuário: algumas funções são exclusivas do Administrador e o perfil Consulta não pode alterar dados.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Ind w:w="120" w:type="dxa"/>
      </w:tblPr>
      <w:tblGrid>
        <w:gridCol w:w="2100"/>
        <w:gridCol w:w="7260"/>
      </w:tblGrid>
      <w:tr>
        <w:trPr>
          <w:tblHeader w:val="true"/>
        </w:trP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Símbolo</w:t>
            </w:r>
          </w:p>
        </w:tc>
        <w:tc>
          <w:tcPr>
            <w:tcW w:type="dxa" w:w="7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Significado</w:t>
            </w:r>
          </w:p>
        </w:tc>
      </w:tr>
      <w:t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Importante</w:t>
            </w:r>
          </w:p>
        </w:tc>
        <w:tc>
          <w:tcPr>
            <w:tcW w:type="dxa" w:w="7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Regra que evita perda de dados ou inconsistência.</w:t>
            </w:r>
          </w:p>
        </w:tc>
      </w:tr>
      <w:t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Boa prática</w:t>
            </w:r>
          </w:p>
        </w:tc>
        <w:tc>
          <w:tcPr>
            <w:tcW w:type="dxa" w:w="7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Recomendação operacional para reduzir risco.</w:t>
            </w:r>
          </w:p>
        </w:tc>
      </w:tr>
      <w:t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Resultado esperado</w:t>
            </w:r>
          </w:p>
        </w:tc>
        <w:tc>
          <w:tcPr>
            <w:tcW w:type="dxa" w:w="7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Como confirmar que o procedimento funcionou.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b/>
          <w:color w:val="000000"/>
          <w:u w:val="none"/>
        </w:rPr>
        <w:t>Destaques da versão 1 2 0</w:t>
      </w:r>
    </w:p>
    <w:p>
      <w:r>
        <w:t>Os procedimentos da versão 1.0.0 continuam válidos. A versão 1.2.0 acrescenta novas formas de instalar, vender, imprimir, controlar caixa, produzir e receber.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2376"/>
            <w:shd w:fill="17324D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rPr>
                <w:b/>
                <w:color w:val="FFFFFF"/>
              </w:rPr>
              <w:t>Recurso</w:t>
            </w:r>
          </w:p>
        </w:tc>
        <w:tc>
          <w:tcPr>
            <w:tcW w:type="dxa" w:w="6984"/>
            <w:shd w:fill="17324D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rPr>
                <w:b/>
                <w:color w:val="FFFFFF"/>
              </w:rPr>
              <w:t>O que o usuário pode fazer</w:t>
            </w:r>
          </w:p>
        </w:tc>
      </w:tr>
      <w:tr>
        <w:tc>
          <w:tcPr>
            <w:tcW w:type="dxa" w:w="2376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Instalação</w:t>
            </w:r>
          </w:p>
        </w:tc>
        <w:tc>
          <w:tcPr>
            <w:tcW w:type="dxa" w:w="6984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Escolher os modos Normal ou Portátil e aceitar os Termos de Licença e Uso.</w:t>
            </w:r>
          </w:p>
        </w:tc>
      </w:tr>
      <w:tr>
        <w:tc>
          <w:tcPr>
            <w:tcW w:type="dxa" w:w="2376"/>
            <w:shd w:fill="F4F6F9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Licença</w:t>
            </w:r>
          </w:p>
        </w:tc>
        <w:tc>
          <w:tcPr>
            <w:tcW w:type="dxa" w:w="6984"/>
            <w:shd w:fill="F4F6F9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Consultar plano, validade, limites e dispositivo em Configurações.</w:t>
            </w:r>
          </w:p>
        </w:tc>
      </w:tr>
      <w:tr>
        <w:tc>
          <w:tcPr>
            <w:tcW w:type="dxa" w:w="2376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Compras</w:t>
            </w:r>
          </w:p>
        </w:tc>
        <w:tc>
          <w:tcPr>
            <w:tcW w:type="dxa" w:w="6984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Visualizar, imprimir e salvar pedidos de compra em PDF.</w:t>
            </w:r>
          </w:p>
        </w:tc>
      </w:tr>
      <w:tr>
        <w:tc>
          <w:tcPr>
            <w:tcW w:type="dxa" w:w="2376"/>
            <w:shd w:fill="F4F6F9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Vendas</w:t>
            </w:r>
          </w:p>
        </w:tc>
        <w:tc>
          <w:tcPr>
            <w:tcW w:type="dxa" w:w="6984"/>
            <w:shd w:fill="F4F6F9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Usar o PDV, dividir pagamentos, calcular troco e emitir comprovantes.</w:t>
            </w:r>
          </w:p>
        </w:tc>
      </w:tr>
      <w:tr>
        <w:tc>
          <w:tcPr>
            <w:tcW w:type="dxa" w:w="2376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Caixa</w:t>
            </w:r>
          </w:p>
        </w:tc>
        <w:tc>
          <w:tcPr>
            <w:tcW w:type="dxa" w:w="6984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Abrir e encerrar caixa, registrar suprimentos e sangrias e gerar o fechamento diário.</w:t>
            </w:r>
          </w:p>
        </w:tc>
      </w:tr>
      <w:tr>
        <w:tc>
          <w:tcPr>
            <w:tcW w:type="dxa" w:w="2376"/>
            <w:shd w:fill="F4F6F9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Produção</w:t>
            </w:r>
          </w:p>
        </w:tc>
        <w:tc>
          <w:tcPr>
            <w:tcW w:type="dxa" w:w="6984"/>
            <w:shd w:fill="F4F6F9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Cadastrar receitas e concluir ordens com custos, perdas e lotes.</w:t>
            </w:r>
          </w:p>
        </w:tc>
      </w:tr>
      <w:tr>
        <w:tc>
          <w:tcPr>
            <w:tcW w:type="dxa" w:w="2376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Crediário</w:t>
            </w:r>
          </w:p>
        </w:tc>
        <w:tc>
          <w:tcPr>
            <w:tcW w:type="dxa" w:w="6984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Criar parcelas, acompanhar contas a receber e registrar recebimentos.</w:t>
            </w:r>
          </w:p>
        </w:tc>
      </w:tr>
      <w:tr>
        <w:tc>
          <w:tcPr>
            <w:tcW w:type="dxa" w:w="2376"/>
            <w:shd w:fill="F4F6F9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Transformações</w:t>
            </w:r>
          </w:p>
        </w:tc>
        <w:tc>
          <w:tcPr>
            <w:tcW w:type="dxa" w:w="6984"/>
            <w:shd w:fill="F4F6F9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Converter produtos e unidades com fator, perdas, custos e genealogia.</w:t>
            </w:r>
          </w:p>
        </w:tc>
      </w:tr>
      <w:tr>
        <w:tc>
          <w:tcPr>
            <w:tcW w:type="dxa" w:w="2376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Atalhos</w:t>
            </w:r>
          </w:p>
        </w:tc>
        <w:tc>
          <w:tcPr>
            <w:tcW w:type="dxa" w:w="6984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 w:line="259" w:lineRule="auto"/>
            </w:pPr>
            <w:r>
              <w:t>Usar F2 para a ação contextual e Esc para fechar janelas e prévias.</w:t>
            </w:r>
          </w:p>
        </w:tc>
      </w:tr>
    </w:tbl>
    <w:p>
      <w:pPr>
        <w:pStyle w:val="Heading1"/>
      </w:pPr>
      <w:r>
        <w:rPr>
          <w:b/>
          <w:color w:val="000000"/>
          <w:u w:val="none"/>
        </w:rPr>
        <w:t>1 Primeira configuração</w:t>
      </w:r>
    </w:p>
    <w:p>
      <w:pPr>
        <w:pStyle w:val="ListNumber"/>
      </w:pPr>
      <w:r>
        <w:t>Abra a Cubexa pelo atalho da área de trabalho ou menu Iniciar.</w:t>
      </w:r>
    </w:p>
    <w:p>
      <w:pPr>
        <w:pStyle w:val="ListNumber"/>
      </w:pPr>
      <w:r>
        <w:t>Na tela Configure seu espaço, informe o nome da empresa e o nome do administrador.</w:t>
      </w:r>
    </w:p>
    <w:p>
      <w:pPr>
        <w:pStyle w:val="ListNumber"/>
      </w:pPr>
      <w:r>
        <w:t>O sistema gera o usuário a partir do nome do administrador informado.</w:t>
      </w:r>
    </w:p>
    <w:p>
      <w:pPr>
        <w:pStyle w:val="ListNumber"/>
      </w:pPr>
      <w:r>
        <w:t>Crie uma senha exclusiva com pelo menos 8 caracteres e guarde-a em local seguro.</w:t>
      </w:r>
    </w:p>
    <w:p>
      <w:pPr>
        <w:pStyle w:val="ListNumber"/>
      </w:pPr>
      <w:r>
        <w:t>Conclua a configuração. O sistema abrirá o catálogo para o primeiro cadastro.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AF5EE"/>
          </w:tcPr>
          <w:p>
            <w:pPr>
              <w:spacing w:after="0"/>
            </w:pPr>
            <w:r>
              <w:rPr>
                <w:b/>
                <w:color w:val="17324D"/>
              </w:rPr>
              <w:t xml:space="preserve">Boa prática: </w:t>
            </w:r>
            <w:r>
              <w:t>Crie um segundo Administrador para contingência e use contas Operador no trabalho diário. Não compartilhe a conta administrativa.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b/>
          <w:color w:val="000000"/>
          <w:u w:val="none"/>
        </w:rPr>
        <w:t>2 Entrar, sair e navegar</w:t>
      </w:r>
    </w:p>
    <w:p>
      <w:pPr>
        <w:pStyle w:val="ListNumber"/>
      </w:pPr>
      <w:r>
        <w:t>Informe usuário e senha na tela de acesso e selecione Entrar.</w:t>
      </w:r>
    </w:p>
    <w:p>
      <w:pPr>
        <w:pStyle w:val="ListNumber"/>
      </w:pPr>
      <w:r>
        <w:t>Use o menu lateral para Dashboard, Produtos, Movimentações, Vendas, Compras, Inventário, Lotes e reposição, Relatórios e Configurações.</w:t>
      </w:r>
    </w:p>
    <w:p>
      <w:pPr>
        <w:pStyle w:val="ListNumber"/>
      </w:pPr>
      <w:r>
        <w:t>Use Ctrl+K para localizar telas e ações. As opções visíveis recebem atalhos Ctrl+1, Ctrl+2 e seguintes. Use Esc para fechar buscas, modais, painéis e prévias.</w:t>
      </w:r>
    </w:p>
    <w:p>
      <w:pPr>
        <w:pStyle w:val="ListNumber"/>
      </w:pPr>
      <w:r>
        <w:t>Use F2 para executar a ação principal da tela atual, quando seu perfil e sua licença permitirem.</w:t>
      </w:r>
    </w:p>
    <w:p>
      <w:pPr>
        <w:pStyle w:val="ListNumber"/>
      </w:pPr>
      <w:r>
        <w:t>Ao terminar, selecione Sair no menu lateral.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4D6"/>
          </w:tcPr>
          <w:p>
            <w:pPr>
              <w:spacing w:after="0"/>
            </w:pPr>
            <w:r>
              <w:rPr>
                <w:b/>
                <w:color w:val="7A5A00"/>
              </w:rPr>
              <w:t xml:space="preserve">Segurança: </w:t>
            </w:r>
            <w:r>
              <w:t>Sempre encerre a sessão em computadores compartilhados. Fechar somente a janela pode executar backup “Ao sair”, mas não substitui o hábito de sair da conta.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b/>
          <w:color w:val="000000"/>
          <w:u w:val="none"/>
        </w:rPr>
        <w:t>3 Perfis de acesso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Ind w:w="120" w:type="dxa"/>
      </w:tblPr>
      <w:tblGrid>
        <w:gridCol w:w="1700"/>
        <w:gridCol w:w="3500"/>
        <w:gridCol w:w="4160"/>
      </w:tblGrid>
      <w:tr>
        <w:trPr>
          <w:tblHeader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Perfil</w:t>
            </w:r>
          </w:p>
        </w:tc>
        <w:tc>
          <w:tcPr>
            <w:tcW w:type="dxa" w:w="3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Uso recomendado</w:t>
            </w:r>
          </w:p>
        </w:tc>
        <w:tc>
          <w:tcPr>
            <w:tcW w:type="dxa" w:w="4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Restrições</w:t>
            </w:r>
          </w:p>
        </w:tc>
      </w:tr>
      <w:t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Administrador</w:t>
            </w:r>
          </w:p>
        </w:tc>
        <w:tc>
          <w:tcPr>
            <w:tcW w:type="dxa" w:w="3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Responsável pelo sistema e dados mestres.</w:t>
            </w:r>
          </w:p>
        </w:tc>
        <w:tc>
          <w:tcPr>
            <w:tcW w:type="dxa" w:w="4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Nenhuma restrição funcional; ações críticas exigem confirmação.</w:t>
            </w:r>
          </w:p>
        </w:tc>
      </w:tr>
      <w:t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Operador</w:t>
            </w:r>
          </w:p>
        </w:tc>
        <w:tc>
          <w:tcPr>
            <w:tcW w:type="dxa" w:w="3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Equipe de estoque, compras e vendas.</w:t>
            </w:r>
          </w:p>
        </w:tc>
        <w:tc>
          <w:tcPr>
            <w:tcW w:type="dxa" w:w="4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Não administra empresa, usuários, backup nem estrutura do catálogo.</w:t>
            </w:r>
          </w:p>
        </w:tc>
      </w:tr>
      <w:t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Consulta</w:t>
            </w:r>
          </w:p>
        </w:tc>
        <w:tc>
          <w:tcPr>
            <w:tcW w:type="dxa" w:w="3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Gestão, auditoria ou conferência.</w:t>
            </w:r>
          </w:p>
        </w:tc>
        <w:tc>
          <w:tcPr>
            <w:tcW w:type="dxa" w:w="4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Somente leitura; não registra operações.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b/>
          <w:color w:val="000000"/>
          <w:u w:val="none"/>
        </w:rPr>
        <w:t>4 Configurar empresa</w:t>
      </w:r>
    </w:p>
    <w:p>
      <w:pPr>
        <w:pStyle w:val="ListNumber"/>
      </w:pPr>
      <w:r>
        <w:t>Acesse Configurações → Empresa.</w:t>
      </w:r>
    </w:p>
    <w:p>
      <w:pPr>
        <w:pStyle w:val="ListNumber"/>
      </w:pPr>
      <w:r>
        <w:t>Revise nome, razão social, CPF/CNPJ, endereço, telefone e e-mail.</w:t>
      </w:r>
    </w:p>
    <w:p>
      <w:pPr>
        <w:pStyle w:val="ListNumber"/>
      </w:pPr>
      <w:r>
        <w:t>Opcionalmente selecione logotipo PNG, JPG ou WebP de até 5 MB.</w:t>
      </w:r>
    </w:p>
    <w:p>
      <w:pPr>
        <w:pStyle w:val="ListNumber"/>
      </w:pPr>
      <w:r>
        <w:t>Defina moeda, casas decimais e formato de data.</w:t>
      </w:r>
    </w:p>
    <w:p>
      <w:pPr>
        <w:pStyle w:val="ListNumber"/>
      </w:pPr>
      <w:r>
        <w:t>Mantenha “Permitir estoque negativo” desativado, salvo decisão formal da empresa.</w:t>
      </w:r>
    </w:p>
    <w:p>
      <w:pPr>
        <w:pStyle w:val="ListNumber"/>
      </w:pPr>
      <w:r>
        <w:t>Selecione Salvar e confirme a mensagem de atualização.</w:t>
      </w:r>
    </w:p>
    <w:p>
      <w:pPr>
        <w:pStyle w:val="Heading1"/>
      </w:pPr>
      <w:r>
        <w:rPr>
          <w:b/>
          <w:color w:val="000000"/>
          <w:u w:val="none"/>
        </w:rPr>
        <w:t>5 Categorias e produtos</w:t>
      </w:r>
    </w:p>
    <w:p>
      <w:pPr>
        <w:pStyle w:val="Heading2"/>
      </w:pPr>
      <w:r>
        <w:rPr>
          <w:b/>
          <w:color w:val="000000"/>
          <w:u w:val="none"/>
        </w:rPr>
        <w:t>5 1 Criar uma categoria</w:t>
      </w:r>
    </w:p>
    <w:p>
      <w:pPr>
        <w:pStyle w:val="ListNumber"/>
      </w:pPr>
      <w:r>
        <w:t>Acesse Produtos e selecione Categorias.</w:t>
      </w:r>
    </w:p>
    <w:p>
      <w:pPr>
        <w:pStyle w:val="ListNumber"/>
      </w:pPr>
      <w:r>
        <w:t>Selecione Nova categoria.</w:t>
      </w:r>
    </w:p>
    <w:p>
      <w:pPr>
        <w:pStyle w:val="ListNumber"/>
      </w:pPr>
      <w:r>
        <w:t>Informe nome, descrição e cor; escolha a categoria-pai se desejar hierarquia.</w:t>
      </w:r>
    </w:p>
    <w:p>
      <w:pPr>
        <w:pStyle w:val="ListNumber"/>
      </w:pPr>
      <w:r>
        <w:t>Salve e feche o gerenciador.</w:t>
      </w:r>
    </w:p>
    <w:p>
      <w:pPr>
        <w:pStyle w:val="Heading2"/>
      </w:pPr>
      <w:r>
        <w:rPr>
          <w:b/>
          <w:color w:val="000000"/>
          <w:u w:val="none"/>
        </w:rPr>
        <w:t>5 2 Cadastrar um produto</w:t>
      </w:r>
    </w:p>
    <w:p>
      <w:pPr>
        <w:pStyle w:val="ListNumber"/>
      </w:pPr>
      <w:r>
        <w:t>Acesse Produtos → Novo produto.</w:t>
      </w:r>
    </w:p>
    <w:p>
      <w:pPr>
        <w:pStyle w:val="ListNumber"/>
      </w:pPr>
      <w:r>
        <w:t>Preencha nome, descrição, categoria, unidade, preço de venda, estoque mínimo, estoque ideal e localização física.</w:t>
      </w:r>
    </w:p>
    <w:p>
      <w:pPr>
        <w:pStyle w:val="ListNumber"/>
      </w:pPr>
      <w:r>
        <w:t>Ative controle por lote e/ou validade somente quando o produto exigir rastreabilidade.</w:t>
      </w:r>
    </w:p>
    <w:p>
      <w:pPr>
        <w:pStyle w:val="ListNumber"/>
      </w:pPr>
      <w:r>
        <w:t>Adicione uma ou mais variações. Para cada uma, informe nome, SKU e código de barras quando disponíveis.</w:t>
      </w:r>
    </w:p>
    <w:p>
      <w:pPr>
        <w:pStyle w:val="ListNumber"/>
      </w:pPr>
      <w:r>
        <w:t>Se houver estoque inicial, informe quantidade e custo. O sistema registrará uma entrada INITIAL_STOCK, preservando o histórico.</w:t>
      </w:r>
    </w:p>
    <w:p>
      <w:pPr>
        <w:pStyle w:val="ListNumber"/>
      </w:pPr>
      <w:r>
        <w:t>Adicione imagem local se necessário, revise e salve.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4D6"/>
          </w:tcPr>
          <w:p>
            <w:pPr>
              <w:spacing w:after="0"/>
            </w:pPr>
            <w:r>
              <w:rPr>
                <w:b/>
                <w:color w:val="7A5A00"/>
              </w:rPr>
              <w:t xml:space="preserve">Importante: </w:t>
            </w:r>
            <w:r>
              <w:t>SKU e código de barras devem ser únicos. Depois de registrar operações, não “corrija” saldo editando o cadastro: use Movimentações ou Inventário.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/>
          <w:color w:val="000000"/>
          <w:u w:val="none"/>
        </w:rPr>
        <w:t>5 3 Localizar, editar e arquivar</w:t>
      </w:r>
    </w:p>
    <w:p>
      <w:pPr>
        <w:pStyle w:val="ListBullet"/>
      </w:pPr>
      <w:r>
        <w:t>Busque por nome, SKU ou código de barras.</w:t>
      </w:r>
    </w:p>
    <w:p>
      <w:pPr>
        <w:pStyle w:val="ListBullet"/>
      </w:pPr>
      <w:r>
        <w:t>Filtre por categoria e situação do estoque; ordene por atualização, nome, saldo ou preço.</w:t>
      </w:r>
    </w:p>
    <w:p>
      <w:pPr>
        <w:pStyle w:val="ListBullet"/>
      </w:pPr>
      <w:r>
        <w:t>Abra o produto ou use o ícone Editar.</w:t>
      </w:r>
    </w:p>
    <w:p>
      <w:pPr>
        <w:pStyle w:val="ListBullet"/>
      </w:pPr>
      <w:r>
        <w:t>Arquive produtos fora de uso; o histórico permanece preservado.</w:t>
      </w:r>
    </w:p>
    <w:p>
      <w:pPr>
        <w:pStyle w:val="Heading1"/>
      </w:pPr>
      <w:r>
        <w:rPr>
          <w:b/>
          <w:color w:val="000000"/>
          <w:u w:val="none"/>
        </w:rPr>
        <w:t>6 Movimentações de estoque</w:t>
      </w:r>
    </w:p>
    <w:p>
      <w:pPr>
        <w:pStyle w:val="Heading2"/>
      </w:pPr>
      <w:r>
        <w:rPr>
          <w:b/>
          <w:color w:val="000000"/>
          <w:u w:val="none"/>
        </w:rPr>
        <w:t>6 1 Registrar entrada ou saída</w:t>
      </w:r>
    </w:p>
    <w:p>
      <w:pPr>
        <w:pStyle w:val="ListNumber"/>
      </w:pPr>
      <w:r>
        <w:t>Acesse Movimentações → Nova movimentação.</w:t>
      </w:r>
    </w:p>
    <w:p>
      <w:pPr>
        <w:pStyle w:val="ListNumber"/>
      </w:pPr>
      <w:r>
        <w:t>Escolha Entrada para adicionar saldo ou Saída para retirar.</w:t>
      </w:r>
    </w:p>
    <w:p>
      <w:pPr>
        <w:pStyle w:val="ListNumber"/>
      </w:pPr>
      <w:r>
        <w:t>Selecione o produto/variação, informe quantidade e motivo.</w:t>
      </w:r>
    </w:p>
    <w:p>
      <w:pPr>
        <w:pStyle w:val="ListNumber"/>
      </w:pPr>
      <w:r>
        <w:t>Em entradas, revise o custo unitário; informe data/hora se o lançamento não for imediato.</w:t>
      </w:r>
    </w:p>
    <w:p>
      <w:pPr>
        <w:pStyle w:val="ListNumber"/>
      </w:pPr>
      <w:r>
        <w:t>Quando houver controle por lote, selecione o lote ou informe código, fabricação e validade.</w:t>
      </w:r>
    </w:p>
    <w:p>
      <w:pPr>
        <w:pStyle w:val="ListNumber"/>
      </w:pPr>
      <w:r>
        <w:t>Registre uma nota com documento, responsável ou justificativa.</w:t>
      </w:r>
    </w:p>
    <w:p>
      <w:pPr>
        <w:pStyle w:val="ListNumber"/>
      </w:pPr>
      <w:r>
        <w:t>Selecione Registrar entrada ou Registrar saída e confirme o novo saldo no histórico.</w:t>
      </w:r>
    </w:p>
    <w:p>
      <w:pPr>
        <w:pStyle w:val="Heading2"/>
      </w:pPr>
      <w:r>
        <w:rPr>
          <w:b/>
          <w:color w:val="000000"/>
          <w:u w:val="none"/>
        </w:rPr>
        <w:t>6 2 Estornar uma movimentação</w:t>
      </w:r>
    </w:p>
    <w:p>
      <w:pPr>
        <w:pStyle w:val="ListNumber"/>
      </w:pPr>
      <w:r>
        <w:t>Abra a movimentação no histórico.</w:t>
      </w:r>
    </w:p>
    <w:p>
      <w:pPr>
        <w:pStyle w:val="ListNumber"/>
      </w:pPr>
      <w:r>
        <w:t>Confirme produto, quantidade, lote, custo e origem.</w:t>
      </w:r>
    </w:p>
    <w:p>
      <w:pPr>
        <w:pStyle w:val="ListNumber"/>
      </w:pPr>
      <w:r>
        <w:t>Selecione Registrar estorno.</w:t>
      </w:r>
    </w:p>
    <w:p>
      <w:pPr>
        <w:pStyle w:val="ListNumber"/>
      </w:pPr>
      <w:r>
        <w:t>Confirme. O sistema cria um lançamento inverso; o original continua visível.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DECEC"/>
          </w:tcPr>
          <w:p>
            <w:pPr>
              <w:spacing w:after="0"/>
            </w:pPr>
            <w:r>
              <w:rPr>
                <w:b/>
                <w:color w:val="9B1C1C"/>
              </w:rPr>
              <w:t xml:space="preserve">Importante: </w:t>
            </w:r>
            <w:r>
              <w:t>Movimentações não são editadas nem apagadas. Use estorno para manter rastreabilidade.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b/>
          <w:color w:val="000000"/>
          <w:u w:val="none"/>
        </w:rPr>
        <w:t>7 Fornecedores e compras</w:t>
      </w:r>
    </w:p>
    <w:p>
      <w:pPr>
        <w:pStyle w:val="Heading2"/>
      </w:pPr>
      <w:r>
        <w:rPr>
          <w:b/>
          <w:color w:val="000000"/>
          <w:u w:val="none"/>
        </w:rPr>
        <w:t>7 1 Cadastrar fornecedor</w:t>
      </w:r>
    </w:p>
    <w:p>
      <w:pPr>
        <w:pStyle w:val="ListNumber"/>
      </w:pPr>
      <w:r>
        <w:t>Acesse Compras → aba Fornecedores → Novo fornecedor.</w:t>
      </w:r>
    </w:p>
    <w:p>
      <w:pPr>
        <w:pStyle w:val="ListNumber"/>
      </w:pPr>
      <w:r>
        <w:t>Preencha nome/razão social, documento, contatos, endereço, prazo e observações.</w:t>
      </w:r>
    </w:p>
    <w:p>
      <w:pPr>
        <w:pStyle w:val="ListNumber"/>
      </w:pPr>
      <w:r>
        <w:t>Associe produtos, códigos do fornecedor, preço, prazo e quantidade mínima quando aplicável.</w:t>
      </w:r>
    </w:p>
    <w:p>
      <w:pPr>
        <w:pStyle w:val="ListNumber"/>
      </w:pPr>
      <w:r>
        <w:t>Salve.</w:t>
      </w:r>
    </w:p>
    <w:p>
      <w:pPr>
        <w:pStyle w:val="Heading2"/>
      </w:pPr>
      <w:r>
        <w:rPr>
          <w:b/>
          <w:color w:val="000000"/>
          <w:u w:val="none"/>
        </w:rPr>
        <w:t>7 2 Criar pedido de compra</w:t>
      </w:r>
    </w:p>
    <w:p>
      <w:pPr>
        <w:pStyle w:val="ListNumber"/>
      </w:pPr>
      <w:r>
        <w:t>Acesse Compras → Nova compra.</w:t>
      </w:r>
    </w:p>
    <w:p>
      <w:pPr>
        <w:pStyle w:val="ListNumber"/>
      </w:pPr>
      <w:r>
        <w:t>Selecione fornecedor, data, previsão e situação inicial: Rascunho ou Pedido.</w:t>
      </w:r>
    </w:p>
    <w:p>
      <w:pPr>
        <w:pStyle w:val="ListNumber"/>
      </w:pPr>
      <w:r>
        <w:t>Adicione itens; selecione a variação e informe quantidade, custo unitário e desconto.</w:t>
      </w:r>
    </w:p>
    <w:p>
      <w:pPr>
        <w:pStyle w:val="ListNumber"/>
      </w:pPr>
      <w:r>
        <w:t>Informe desconto geral, frete e observações.</w:t>
      </w:r>
    </w:p>
    <w:p>
      <w:pPr>
        <w:pStyle w:val="ListNumber"/>
      </w:pPr>
      <w:r>
        <w:t>Revise o total e selecione Salvar compra.</w:t>
      </w:r>
    </w:p>
    <w:p>
      <w:pPr>
        <w:pStyle w:val="Heading2"/>
      </w:pPr>
      <w:r>
        <w:rPr>
          <w:b/>
          <w:color w:val="000000"/>
          <w:u w:val="none"/>
        </w:rPr>
        <w:t>7 3 Receber compra total ou parcialmente</w:t>
      </w:r>
    </w:p>
    <w:p>
      <w:pPr>
        <w:pStyle w:val="ListNumber"/>
      </w:pPr>
      <w:r>
        <w:t>Abra a compra com status apto a receber.</w:t>
      </w:r>
    </w:p>
    <w:p>
      <w:pPr>
        <w:pStyle w:val="ListNumber"/>
      </w:pPr>
      <w:r>
        <w:t>Selecione Receber itens.</w:t>
      </w:r>
    </w:p>
    <w:p>
      <w:pPr>
        <w:pStyle w:val="ListNumber"/>
      </w:pPr>
      <w:r>
        <w:t>Informe a quantidade efetivamente recebida de cada item; não ultrapasse o pedido.</w:t>
      </w:r>
    </w:p>
    <w:p>
      <w:pPr>
        <w:pStyle w:val="ListNumber"/>
      </w:pPr>
      <w:r>
        <w:t>Para itens controlados, informe lote, fabricação e validade.</w:t>
      </w:r>
    </w:p>
    <w:p>
      <w:pPr>
        <w:pStyle w:val="ListNumber"/>
      </w:pPr>
      <w:r>
        <w:t>Confirme o recebimento. O estoque e o custo médio serão atualizados somente agora.</w:t>
      </w:r>
    </w:p>
    <w:p>
      <w:pPr>
        <w:pStyle w:val="ListNumber"/>
      </w:pPr>
      <w:r>
        <w:t>Repita em outro momento se o recebimento foi parcial.</w:t>
      </w:r>
    </w:p>
    <w:p>
      <w:pPr>
        <w:pStyle w:val="Heading1"/>
      </w:pPr>
      <w:r>
        <w:rPr>
          <w:b/>
          <w:color w:val="000000"/>
          <w:u w:val="none"/>
        </w:rPr>
        <w:t>8 Clientes e vendas</w:t>
      </w:r>
    </w:p>
    <w:p>
      <w:pPr>
        <w:pStyle w:val="Heading2"/>
      </w:pPr>
      <w:r>
        <w:rPr>
          <w:b/>
          <w:color w:val="000000"/>
          <w:u w:val="none"/>
        </w:rPr>
        <w:t>8 1 Cadastrar cliente</w:t>
      </w:r>
    </w:p>
    <w:p>
      <w:pPr>
        <w:pStyle w:val="ListNumber"/>
      </w:pPr>
      <w:r>
        <w:t>Acesse Vendas → Clientes → Novo cliente.</w:t>
      </w:r>
    </w:p>
    <w:p>
      <w:pPr>
        <w:pStyle w:val="ListNumber"/>
      </w:pPr>
      <w:r>
        <w:t>Informe nome e, se disponíveis, CPF/CNPJ, telefone, WhatsApp, e-mail e observações.</w:t>
      </w:r>
    </w:p>
    <w:p>
      <w:pPr>
        <w:pStyle w:val="ListNumber"/>
      </w:pPr>
      <w:r>
        <w:t>Mantenha Cliente ativo marcado e salve.</w:t>
      </w:r>
    </w:p>
    <w:p>
      <w:pPr>
        <w:pStyle w:val="Heading2"/>
      </w:pPr>
      <w:r>
        <w:rPr>
          <w:b/>
          <w:color w:val="000000"/>
          <w:u w:val="none"/>
        </w:rPr>
        <w:t>8 2 Criar e finalizar venda</w:t>
      </w:r>
    </w:p>
    <w:p>
      <w:pPr>
        <w:pStyle w:val="ListNumber"/>
      </w:pPr>
      <w:r>
        <w:t>Acesse Vendas → Nova venda.</w:t>
      </w:r>
    </w:p>
    <w:p>
      <w:pPr>
        <w:pStyle w:val="ListNumber"/>
      </w:pPr>
      <w:r>
        <w:t>Selecione o cliente ou mantenha Consumidor não identificado.</w:t>
      </w:r>
    </w:p>
    <w:p>
      <w:pPr>
        <w:pStyle w:val="ListNumber"/>
      </w:pPr>
      <w:r>
        <w:t>Informe data/hora e forma de pagamento.</w:t>
      </w:r>
    </w:p>
    <w:p>
      <w:pPr>
        <w:pStyle w:val="ListNumber"/>
      </w:pPr>
      <w:r>
        <w:t>Adicione produtos, quantidades, preços e descontos por item.</w:t>
      </w:r>
    </w:p>
    <w:p>
      <w:pPr>
        <w:pStyle w:val="ListNumber"/>
      </w:pPr>
      <w:r>
        <w:t>Informe desconto geral, acréscimo e observações.</w:t>
      </w:r>
    </w:p>
    <w:p>
      <w:pPr>
        <w:pStyle w:val="ListNumber"/>
      </w:pPr>
      <w:r>
        <w:t>Selecione Salvar rascunho para continuar depois, ou Finalizar venda para validar e baixar o estoque.</w:t>
      </w:r>
    </w:p>
    <w:p>
      <w:pPr>
        <w:pStyle w:val="ListNumber"/>
      </w:pPr>
      <w:r>
        <w:t>Confirme o status Finalizada e o total.</w:t>
      </w:r>
    </w:p>
    <w:p>
      <w:pPr>
        <w:pStyle w:val="Heading2"/>
      </w:pPr>
      <w:r>
        <w:rPr>
          <w:b/>
          <w:color w:val="000000"/>
          <w:u w:val="none"/>
        </w:rPr>
        <w:t>8 3 Cancelar venda</w:t>
      </w:r>
    </w:p>
    <w:p>
      <w:pPr>
        <w:pStyle w:val="ListNumber"/>
      </w:pPr>
      <w:r>
        <w:t>Abra a venda.</w:t>
      </w:r>
    </w:p>
    <w:p>
      <w:pPr>
        <w:pStyle w:val="ListNumber"/>
      </w:pPr>
      <w:r>
        <w:t>Selecione Cancelar venda e confirme.</w:t>
      </w:r>
    </w:p>
    <w:p>
      <w:pPr>
        <w:pStyle w:val="ListNumber"/>
      </w:pPr>
      <w:r>
        <w:t>Se ela já estava finalizada, confira as movimentações de estorno que devolveram o estoque.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4F6F9"/>
          </w:tcPr>
          <w:p>
            <w:pPr>
              <w:spacing w:after="0"/>
            </w:pPr>
            <w:r>
              <w:rPr>
                <w:b/>
                <w:color w:val="17324D"/>
              </w:rPr>
              <w:t xml:space="preserve">Lotes: </w:t>
            </w:r>
            <w:r>
              <w:t>Em produtos rastreados, a finalização consome automaticamente os lotes pelo critério FEFO: primeiro os que vencem antes.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b/>
          <w:color w:val="000000"/>
          <w:u w:val="none"/>
        </w:rPr>
        <w:t>9 Inventário físico</w:t>
      </w:r>
    </w:p>
    <w:p>
      <w:pPr>
        <w:pStyle w:val="ListNumber"/>
      </w:pPr>
      <w:r>
        <w:t>Evite compras, vendas e movimentações durante a contagem.</w:t>
      </w:r>
    </w:p>
    <w:p>
      <w:pPr>
        <w:pStyle w:val="ListNumber"/>
      </w:pPr>
      <w:r>
        <w:t>Acesse Inventário → Novo inventário.</w:t>
      </w:r>
    </w:p>
    <w:p>
      <w:pPr>
        <w:pStyle w:val="ListNumber"/>
      </w:pPr>
      <w:r>
        <w:t>Escolha o escopo: geral, categoria ou localização. Adicione observações e inicie.</w:t>
      </w:r>
    </w:p>
    <w:p>
      <w:pPr>
        <w:pStyle w:val="ListNumber"/>
      </w:pPr>
      <w:r>
        <w:t>Conte cada item fisicamente e registre a quantidade. Use busca por produto, SKU ou código de barras.</w:t>
      </w:r>
    </w:p>
    <w:p>
      <w:pPr>
        <w:pStyle w:val="ListNumber"/>
      </w:pPr>
      <w:r>
        <w:t>Em diferença positiva de produto rastreado, informe lote e validade exigidos.</w:t>
      </w:r>
    </w:p>
    <w:p>
      <w:pPr>
        <w:pStyle w:val="ListNumber"/>
      </w:pPr>
      <w:r>
        <w:t>Revise progresso, pendências e divergências.</w:t>
      </w:r>
    </w:p>
    <w:p>
      <w:pPr>
        <w:pStyle w:val="ListNumber"/>
      </w:pPr>
      <w:r>
        <w:t>Selecione Concluir inventário. O sistema cria entradas/saídas de ajuste.</w:t>
      </w:r>
    </w:p>
    <w:p>
      <w:pPr>
        <w:pStyle w:val="ListNumber"/>
      </w:pPr>
      <w:r>
        <w:t>Se o saldo tiver mudado desde o início, o sistema bloqueará a conclusão; revise o movimento e reinicie a contagem.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AF5EE"/>
          </w:tcPr>
          <w:p>
            <w:pPr>
              <w:spacing w:after="0"/>
            </w:pPr>
            <w:r>
              <w:rPr>
                <w:b/>
                <w:color w:val="17324D"/>
              </w:rPr>
              <w:t xml:space="preserve">Boa prática: </w:t>
            </w:r>
            <w:r>
              <w:t>Faça inventários por localização ou categoria em ciclos menores. Isso reduz o tempo de paralisação e facilita investigar divergências.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b/>
          <w:color w:val="000000"/>
          <w:u w:val="none"/>
        </w:rPr>
        <w:t>10 Lotes, validade e reposição</w:t>
      </w:r>
    </w:p>
    <w:p>
      <w:pPr>
        <w:pStyle w:val="ListBullet"/>
      </w:pPr>
      <w:r>
        <w:t>Acesse Lotes e reposição para consultar lote, fornecedor, compra, fabricação, validade, saldo e histórico.</w:t>
      </w:r>
    </w:p>
    <w:p>
      <w:pPr>
        <w:pStyle w:val="ListBullet"/>
      </w:pPr>
      <w:r>
        <w:t>Priorize lotes vencidos, a vencer em 7 dias e a vencer em 30 dias. Não realize venda de item vencido sem política formal e avaliação aplicável.</w:t>
      </w:r>
    </w:p>
    <w:p>
      <w:pPr>
        <w:pStyle w:val="ListBullet"/>
      </w:pPr>
      <w:r>
        <w:t>Use a visão de integridade para comparar saldo dos lotes com o saldo total.</w:t>
      </w:r>
    </w:p>
    <w:p>
      <w:pPr>
        <w:pStyle w:val="ListBullet"/>
      </w:pPr>
      <w:r>
        <w:t>Revise sugestões quando o estoque cair abaixo do mínimo; a sugestão busca completar o nível ideal.</w:t>
      </w:r>
    </w:p>
    <w:p>
      <w:pPr>
        <w:pStyle w:val="ListBullet"/>
      </w:pPr>
      <w:r>
        <w:t>Agrupe sugestões por fornecedor e crie uma compra em rascunho; revise preço, prazo e quantidade antes de enviar.</w:t>
      </w:r>
    </w:p>
    <w:p>
      <w:pPr>
        <w:pStyle w:val="ListBullet"/>
      </w:pPr>
      <w:r>
        <w:t>Consulte produtos sem giro em 30, 60, 90 ou 180 dias para reduzir capital imobilizado.</w:t>
      </w:r>
    </w:p>
    <w:p>
      <w:pPr>
        <w:pStyle w:val="Heading1"/>
      </w:pPr>
      <w:r>
        <w:rPr>
          <w:b/>
          <w:color w:val="000000"/>
          <w:u w:val="none"/>
        </w:rPr>
        <w:t>11 Relatórios e exportações</w:t>
      </w:r>
    </w:p>
    <w:p>
      <w:pPr>
        <w:pStyle w:val="ListNumber"/>
      </w:pPr>
      <w:r>
        <w:t>Acesse Relatórios e selecione o relatório desejado.</w:t>
      </w:r>
    </w:p>
    <w:p>
      <w:pPr>
        <w:pStyle w:val="ListNumber"/>
      </w:pPr>
      <w:r>
        <w:t>Aplique filtros de período, categoria, produto, fornecedor e usuário conforme disponíveis.</w:t>
      </w:r>
    </w:p>
    <w:p>
      <w:pPr>
        <w:pStyle w:val="ListNumber"/>
      </w:pPr>
      <w:r>
        <w:t>Confira indicadores e linhas na tela.</w:t>
      </w:r>
    </w:p>
    <w:p>
      <w:pPr>
        <w:pStyle w:val="ListNumber"/>
      </w:pPr>
      <w:r>
        <w:t>Selecione PDF para documento paginado, XLSX para análise em planilha ou CSV para integração.</w:t>
      </w:r>
    </w:p>
    <w:p>
      <w:pPr>
        <w:pStyle w:val="ListNumber"/>
      </w:pPr>
      <w:r>
        <w:t>Abra o arquivo exportado e confirme título, período, totais e quantidade de registros.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4D6"/>
          </w:tcPr>
          <w:p>
            <w:pPr>
              <w:spacing w:after="0"/>
            </w:pPr>
            <w:r>
              <w:rPr>
                <w:b/>
                <w:color w:val="7A5A00"/>
              </w:rPr>
              <w:t xml:space="preserve">Boa prática: </w:t>
            </w:r>
            <w:r>
              <w:t>Guarde relatórios gerenciais fora da pasta de backup do banco. Relatório exportado não substitui backup, pois não contém todas as relações e o histórico necessários à restauração.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b/>
          <w:color w:val="000000"/>
          <w:u w:val="none"/>
        </w:rPr>
        <w:t>12 Importar produtos por planilha</w:t>
      </w:r>
    </w:p>
    <w:p>
      <w:pPr>
        <w:pStyle w:val="ListNumber"/>
      </w:pPr>
      <w:r>
        <w:t>Acesse Relatórios e abra a importação de produtos. A ação requer Administrador.</w:t>
      </w:r>
    </w:p>
    <w:p>
      <w:pPr>
        <w:pStyle w:val="ListNumber"/>
      </w:pPr>
      <w:r>
        <w:t>Selecione um arquivo XLSX ou CSV.</w:t>
      </w:r>
    </w:p>
    <w:p>
      <w:pPr>
        <w:pStyle w:val="ListNumber"/>
      </w:pPr>
      <w:r>
        <w:t>Mapeie cada coluna do arquivo para o campo correspondente.</w:t>
      </w:r>
    </w:p>
    <w:p>
      <w:pPr>
        <w:pStyle w:val="ListNumber"/>
      </w:pPr>
      <w:r>
        <w:t>Revise a prévia e corrija cabeçalhos ou valores inválidos.</w:t>
      </w:r>
    </w:p>
    <w:p>
      <w:pPr>
        <w:pStyle w:val="ListNumber"/>
      </w:pPr>
      <w:r>
        <w:t>Escolha criar/atualizar conforme o identificador disponível (SKU ou código de barras).</w:t>
      </w:r>
    </w:p>
    <w:p>
      <w:pPr>
        <w:pStyle w:val="ListNumber"/>
      </w:pPr>
      <w:r>
        <w:t>Execute a importação e leia o resumo de criados, atualizados, ignorados e erros.</w:t>
      </w:r>
    </w:p>
    <w:p>
      <w:pPr>
        <w:pStyle w:val="ListNumber"/>
      </w:pPr>
      <w:r>
        <w:t>Revise uma amostra no catálogo antes de importar o próximo lote.</w:t>
      </w:r>
    </w:p>
    <w:p>
      <w:pPr>
        <w:pStyle w:val="Heading1"/>
      </w:pPr>
      <w:r>
        <w:rPr>
          <w:b/>
          <w:color w:val="000000"/>
          <w:u w:val="none"/>
        </w:rPr>
        <w:t>13 Usuários e auditoria</w:t>
      </w:r>
    </w:p>
    <w:p>
      <w:pPr>
        <w:pStyle w:val="Heading2"/>
      </w:pPr>
      <w:r>
        <w:rPr>
          <w:b/>
          <w:color w:val="000000"/>
          <w:u w:val="none"/>
        </w:rPr>
        <w:t>13 1 Criar ou alterar usuário</w:t>
      </w:r>
    </w:p>
    <w:p>
      <w:pPr>
        <w:pStyle w:val="ListNumber"/>
      </w:pPr>
      <w:r>
        <w:t>Acesse Configurações → Usuários.</w:t>
      </w:r>
    </w:p>
    <w:p>
      <w:pPr>
        <w:pStyle w:val="ListNumber"/>
      </w:pPr>
      <w:r>
        <w:t>Selecione Novo usuário ou Editar.</w:t>
      </w:r>
    </w:p>
    <w:p>
      <w:pPr>
        <w:pStyle w:val="ListNumber"/>
      </w:pPr>
      <w:r>
        <w:t>Informe nome, usuário, perfil, situação e senha. Nova senha deve ter ao menos 8 caracteres.</w:t>
      </w:r>
    </w:p>
    <w:p>
      <w:pPr>
        <w:pStyle w:val="ListNumber"/>
      </w:pPr>
      <w:r>
        <w:t>Salve. O sistema não permite desativar a própria conta nem o último administrador ativo.</w:t>
      </w:r>
    </w:p>
    <w:p>
      <w:pPr>
        <w:pStyle w:val="Heading2"/>
      </w:pPr>
      <w:r>
        <w:rPr>
          <w:b/>
          <w:color w:val="000000"/>
          <w:u w:val="none"/>
        </w:rPr>
        <w:t>13 2 Consultar auditoria</w:t>
      </w:r>
    </w:p>
    <w:p>
      <w:pPr>
        <w:pStyle w:val="ListNumber"/>
      </w:pPr>
      <w:r>
        <w:t>Acesse Configurações → Auditoria.</w:t>
      </w:r>
    </w:p>
    <w:p>
      <w:pPr>
        <w:pStyle w:val="ListNumber"/>
      </w:pPr>
      <w:r>
        <w:t>Pesquise por ação, módulo, registro ou usuário; use os filtros disponíveis.</w:t>
      </w:r>
    </w:p>
    <w:p>
      <w:pPr>
        <w:pStyle w:val="ListNumber"/>
      </w:pPr>
      <w:r>
        <w:t>Compare valores anteriores e novos quando exibidos.</w:t>
      </w:r>
    </w:p>
    <w:p>
      <w:pPr>
        <w:pStyle w:val="ListNumber"/>
      </w:pPr>
      <w:r>
        <w:t>Registre externamente o identificador, usuário e horário ao abrir um chamado.</w:t>
      </w:r>
    </w:p>
    <w:p>
      <w:pPr>
        <w:pStyle w:val="Heading1"/>
      </w:pPr>
      <w:r>
        <w:rPr>
          <w:b/>
          <w:color w:val="000000"/>
          <w:u w:val="none"/>
        </w:rPr>
        <w:t>14 Backup manual</w:t>
      </w:r>
    </w:p>
    <w:p>
      <w:pPr>
        <w:pStyle w:val="ListNumber"/>
      </w:pPr>
      <w:r>
        <w:t>Acesse Configurações → Backups.</w:t>
      </w:r>
    </w:p>
    <w:p>
      <w:pPr>
        <w:pStyle w:val="ListNumber"/>
      </w:pPr>
      <w:r>
        <w:t>Revise a pasta de destino. Se necessário, selecione Escolher pasta e aponte para uma pasta dedicada.</w:t>
      </w:r>
    </w:p>
    <w:p>
      <w:pPr>
        <w:pStyle w:val="ListNumber"/>
      </w:pPr>
      <w:r>
        <w:t>Selecione Criar backup agora.</w:t>
      </w:r>
    </w:p>
    <w:p>
      <w:pPr>
        <w:pStyle w:val="ListNumber"/>
      </w:pPr>
      <w:r>
        <w:t>Aguarde a mensagem “Backup criado” e confirme no histórico o status Concluído, horário e tamanho.</w:t>
      </w:r>
    </w:p>
    <w:p>
      <w:pPr>
        <w:pStyle w:val="ListNumber"/>
      </w:pPr>
      <w:r>
        <w:t>Abra a pasta no Windows e verifique se existe um arquivo Cubexa-backup-...-manual.sqlite3 com tamanho maior que zero.</w:t>
      </w:r>
    </w:p>
    <w:p>
      <w:pPr>
        <w:pStyle w:val="Heading1"/>
      </w:pPr>
      <w:r>
        <w:rPr>
          <w:b/>
          <w:color w:val="000000"/>
          <w:u w:val="none"/>
        </w:rPr>
        <w:t>15 Configurar backup automático em drive externo</w:t>
      </w:r>
    </w:p>
    <w:p>
      <w:pPr>
        <w:pStyle w:val="ListNumber"/>
      </w:pPr>
      <w:r>
        <w:t>Conecte o HD externo ou pendrive e confirme no Explorador de Arquivos que ele está acessível e possui espaço livre.</w:t>
      </w:r>
    </w:p>
    <w:p>
      <w:pPr>
        <w:pStyle w:val="ListNumber"/>
      </w:pPr>
      <w:r>
        <w:t>Crie uma pasta exclusiva, por exemplo E:\Backups-Cubexa. Evite usar a raiz da unidade.</w:t>
      </w:r>
    </w:p>
    <w:p>
      <w:pPr>
        <w:pStyle w:val="ListNumber"/>
      </w:pPr>
      <w:r>
        <w:t>Na Cubexa, entre como Administrador e acesse Configurações → Backups.</w:t>
      </w:r>
    </w:p>
    <w:p>
      <w:pPr>
        <w:pStyle w:val="ListNumber"/>
      </w:pPr>
      <w:r>
        <w:t>Selecione Escolher pasta e indique a pasta do drive externo.</w:t>
      </w:r>
    </w:p>
    <w:p>
      <w:pPr>
        <w:pStyle w:val="ListNumber"/>
      </w:pPr>
      <w:r>
        <w:t>Ative a rotina e escolha Diário para operação frequente, Semanal para baixa movimentação, ou Ao sair se o drive permanece conectado no encerramento.</w:t>
      </w:r>
    </w:p>
    <w:p>
      <w:pPr>
        <w:pStyle w:val="ListNumber"/>
      </w:pPr>
      <w:r>
        <w:t>Defina retenção. Recomendação inicial: 14 cópias diárias ou 8 semanais, ajustando ao volume e ao espaço.</w:t>
      </w:r>
    </w:p>
    <w:p>
      <w:pPr>
        <w:pStyle w:val="ListNumber"/>
      </w:pPr>
      <w:r>
        <w:t>Selecione Salvar configuração.</w:t>
      </w:r>
    </w:p>
    <w:p>
      <w:pPr>
        <w:pStyle w:val="ListNumber"/>
      </w:pPr>
      <w:r>
        <w:t>Crie um backup manual de teste e confirme o histórico e o arquivo no drive.</w:t>
      </w:r>
    </w:p>
    <w:p>
      <w:pPr>
        <w:pStyle w:val="ListNumber"/>
      </w:pPr>
      <w:r>
        <w:t>Ejete o drive com segurança somente depois de o backup terminar.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4D6"/>
          </w:tcPr>
          <w:p>
            <w:pPr>
              <w:spacing w:after="0"/>
            </w:pPr>
            <w:r>
              <w:rPr>
                <w:b/>
                <w:color w:val="7A5A00"/>
              </w:rPr>
              <w:t xml:space="preserve">Atenção: </w:t>
            </w:r>
            <w:r>
              <w:t>A letra da unidade pode mudar ao reconectar. Se isso ocorrer, selecione novamente a pasta. Backups automáticos falharão se o drive estiver desconectado, sem espaço ou sem permissão de gravação.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b/>
          <w:color w:val="000000"/>
          <w:u w:val="none"/>
        </w:rPr>
        <w:t>16 Estratégia de backup recomendada 3 2 1</w:t>
      </w:r>
    </w:p>
    <w:p>
      <w:pPr>
        <w:pStyle w:val="ListBullet"/>
      </w:pPr>
      <w:r>
        <w:t>Mantenha pelo menos 3 cópias dos dados: o banco ativo e duas cópias de backup.</w:t>
      </w:r>
    </w:p>
    <w:p>
      <w:pPr>
        <w:pStyle w:val="ListBullet"/>
      </w:pPr>
      <w:r>
        <w:t>Use 2 mídias ou locais distintos: por exemplo, drive externo e armazenamento corporativo sincronizado.</w:t>
      </w:r>
    </w:p>
    <w:p>
      <w:pPr>
        <w:pStyle w:val="ListBullet"/>
      </w:pPr>
      <w:r>
        <w:t>Mantenha 1 cópia fora do local físico. Se usar nuvem/Drive, sincronize a pasta de backups concluídos, nunca a pasta do banco ativo.</w:t>
      </w:r>
    </w:p>
    <w:p>
      <w:pPr>
        <w:pStyle w:val="ListBullet"/>
      </w:pPr>
      <w:r>
        <w:t>Não trabalhe diretamente sobre um arquivo .sqlite3 em pasta sincronizada; sincronizadores podem copiar enquanto o arquivo está em uso.</w:t>
      </w:r>
    </w:p>
    <w:p>
      <w:pPr>
        <w:pStyle w:val="ListBullet"/>
      </w:pPr>
      <w:r>
        <w:t>Criptografe a unidade externa quando ela sair da empresa e controle quem possui a chave.</w:t>
      </w:r>
    </w:p>
    <w:p>
      <w:pPr>
        <w:pStyle w:val="ListBullet"/>
      </w:pPr>
      <w:r>
        <w:t>Registre o responsável e confira o histórico ao menos semanalmente.</w:t>
      </w:r>
    </w:p>
    <w:p>
      <w:pPr>
        <w:pStyle w:val="Heading1"/>
      </w:pPr>
      <w:r>
        <w:rPr>
          <w:b/>
          <w:color w:val="000000"/>
          <w:u w:val="none"/>
        </w:rPr>
        <w:t>17 Restaurar um backup</w:t>
      </w:r>
    </w:p>
    <w:p>
      <w:pPr>
        <w:pStyle w:val="ListNumber"/>
      </w:pPr>
      <w:r>
        <w:t>Pare vendas, compras, recebimentos e movimentações. Avise todos os usuários da janela de restauração.</w:t>
      </w:r>
    </w:p>
    <w:p>
      <w:pPr>
        <w:pStyle w:val="ListNumber"/>
      </w:pPr>
      <w:r>
        <w:t>Confirme que o arquivo é .sqlite3, provém da Cubexa e corresponde ao ponto desejado. Preserve uma cópia dele.</w:t>
      </w:r>
    </w:p>
    <w:p>
      <w:pPr>
        <w:pStyle w:val="ListNumber"/>
      </w:pPr>
      <w:r>
        <w:t>Entre como Administrador e acesse Configurações → Backups.</w:t>
      </w:r>
    </w:p>
    <w:p>
      <w:pPr>
        <w:pStyle w:val="ListNumber"/>
      </w:pPr>
      <w:r>
        <w:t>Selecione Restaurar backup, leia o aviso e confirme Selecionar e restaurar.</w:t>
      </w:r>
    </w:p>
    <w:p>
      <w:pPr>
        <w:pStyle w:val="ListNumber"/>
      </w:pPr>
      <w:r>
        <w:t>Escolha o arquivo. A Cubexa valida integridade e estrutura e cria automaticamente um PRE_RESTORE do estado atual.</w:t>
      </w:r>
    </w:p>
    <w:p>
      <w:pPr>
        <w:pStyle w:val="ListNumber"/>
      </w:pPr>
      <w:r>
        <w:t>Aguarde a conclusão. A sessão será encerrada. Entre novamente.</w:t>
      </w:r>
    </w:p>
    <w:p>
      <w:pPr>
        <w:pStyle w:val="ListNumber"/>
      </w:pPr>
      <w:r>
        <w:t>Confira empresa, usuários, produtos, saldo de amostra, últimas vendas/compras e auditoria.</w:t>
      </w:r>
    </w:p>
    <w:p>
      <w:pPr>
        <w:pStyle w:val="ListNumber"/>
      </w:pPr>
      <w:r>
        <w:t>Se algo estiver incorreto, pare as operações e contate o suporte informando o caminho do PRE_RESTORE.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DECEC"/>
          </w:tcPr>
          <w:p>
            <w:pPr>
              <w:spacing w:after="0"/>
            </w:pPr>
            <w:r>
              <w:rPr>
                <w:b/>
                <w:color w:val="9B1C1C"/>
              </w:rPr>
              <w:t xml:space="preserve">Nunca faça: </w:t>
            </w:r>
            <w:r>
              <w:t>Não renomeie qualquer banco para “parecer” backup, não substitua o arquivo ativo manualmente e não restaure com usuários trabalhando.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b/>
          <w:color w:val="000000"/>
          <w:u w:val="none"/>
        </w:rPr>
        <w:t>18 Teste periódico de restauração</w:t>
      </w:r>
    </w:p>
    <w:p>
      <w:pPr>
        <w:pStyle w:val="ListBullet"/>
      </w:pPr>
      <w:r>
        <w:t>Frequência recomendada: trimestral e sempre antes de atualização relevante.</w:t>
      </w:r>
    </w:p>
    <w:p>
      <w:pPr>
        <w:pStyle w:val="ListBullet"/>
      </w:pPr>
      <w:r>
        <w:t>Faça o teste em ambiente controlado ou computador de homologação; não use produção apenas para “ver se funciona”.</w:t>
      </w:r>
    </w:p>
    <w:p>
      <w:pPr>
        <w:pStyle w:val="ListBullet"/>
      </w:pPr>
      <w:r>
        <w:t>Escolha uma cópia recente e registre data, arquivo, tamanho e responsável.</w:t>
      </w:r>
    </w:p>
    <w:p>
      <w:pPr>
        <w:pStyle w:val="ListBullet"/>
      </w:pPr>
      <w:r>
        <w:t>Após restaurar, valide login, contagens de cadastros, saldos de amostra, movimentações e um relatório.</w:t>
      </w:r>
    </w:p>
    <w:p>
      <w:pPr>
        <w:pStyle w:val="ListBullet"/>
      </w:pPr>
      <w:r>
        <w:t>Registre o resultado e corrija imediatamente falhas de rotina, destino ou retenção.</w:t>
      </w:r>
    </w:p>
    <w:p>
      <w:pPr>
        <w:pStyle w:val="Heading1"/>
      </w:pPr>
      <w:r>
        <w:rPr>
          <w:b/>
          <w:color w:val="000000"/>
          <w:u w:val="none"/>
        </w:rPr>
        <w:t>19 Recuperar senha do administrador</w:t>
      </w:r>
    </w:p>
    <w:p>
      <w:pPr>
        <w:pStyle w:val="ListNumber"/>
      </w:pPr>
      <w:r>
        <w:t>Na tela de acesso, selecione a opção de recuperação de senha.</w:t>
      </w:r>
    </w:p>
    <w:p>
      <w:pPr>
        <w:pStyle w:val="ListNumber"/>
      </w:pPr>
      <w:r>
        <w:t>Confirme os dados solicitados da empresa.</w:t>
      </w:r>
    </w:p>
    <w:p>
      <w:pPr>
        <w:pStyle w:val="ListNumber"/>
      </w:pPr>
      <w:r>
        <w:t>Informe a nova senha seguindo o mínimo de 8 caracteres.</w:t>
      </w:r>
    </w:p>
    <w:p>
      <w:pPr>
        <w:pStyle w:val="ListNumber"/>
      </w:pPr>
      <w:r>
        <w:t>Conclua. O sistema cria um backup preventivo antes de alterar a credencial.</w:t>
      </w:r>
    </w:p>
    <w:p>
      <w:pPr>
        <w:pStyle w:val="ListNumber"/>
      </w:pPr>
      <w:r>
        <w:t>Entre com a nova senha. Se ocorrer bloqueio por tentativas repetidas, aguarde o período informado antes de tentar novamente.</w:t>
      </w:r>
    </w:p>
    <w:p>
      <w:pPr>
        <w:pStyle w:val="Heading1"/>
      </w:pPr>
      <w:r>
        <w:rPr>
          <w:b/>
          <w:color w:val="000000"/>
          <w:u w:val="none"/>
        </w:rPr>
        <w:t>20 Rotina operacional sugerida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Ind w:w="120" w:type="dxa"/>
      </w:tblPr>
      <w:tblGrid>
        <w:gridCol w:w="1700"/>
        <w:gridCol w:w="7660"/>
      </w:tblGrid>
      <w:tr>
        <w:trPr>
          <w:tblHeader w:val="true"/>
        </w:trP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Frequência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Verificações</w:t>
            </w:r>
          </w:p>
        </w:tc>
      </w:tr>
      <w:t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Diária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Alertas do Dashboard; compras a receber; vendas pendentes; lotes vencendo; último backup concluído.</w:t>
            </w:r>
          </w:p>
        </w:tc>
      </w:tr>
      <w:t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Semanal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Estoque baixo; sugestões de reposição; itens sem giro; falhas de backup; usuários ativos.</w:t>
            </w:r>
          </w:p>
        </w:tc>
      </w:tr>
      <w:t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Mensal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Inventário cíclico; divergências; relatórios de margem e giro; espaço livre do computador e drive.</w:t>
            </w:r>
          </w:p>
        </w:tc>
      </w:tr>
      <w:tr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Trimestral</w:t>
            </w:r>
          </w:p>
        </w:tc>
        <w:tc>
          <w:tcPr>
            <w:tcW w:type="dxa" w:w="7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Teste de restauração; revisão de acessos; cópia externa/off-site; atualização do manual.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b/>
          <w:color w:val="000000"/>
          <w:u w:val="none"/>
        </w:rPr>
        <w:t>21 Solução de problemas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  <w:tblInd w:w="120" w:type="dxa"/>
      </w:tblPr>
      <w:tblGrid>
        <w:gridCol w:w="2400"/>
        <w:gridCol w:w="6960"/>
      </w:tblGrid>
      <w:tr>
        <w:trPr>
          <w:tblHeader w:val="true"/>
        </w:trPr>
        <w:tc>
          <w:tcPr>
            <w:tcW w:type="dxa" w:w="2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Situação</w:t>
            </w:r>
          </w:p>
        </w:tc>
        <w:tc>
          <w:tcPr>
            <w:tcW w:type="dxa" w:w="6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5"/>
          </w:tcPr>
          <w:p>
            <w:r>
              <w:rPr>
                <w:b/>
                <w:color w:val="17324D"/>
              </w:rPr>
              <w:t>Ação segura</w:t>
            </w:r>
          </w:p>
        </w:tc>
      </w:tr>
      <w:tr>
        <w:tc>
          <w:tcPr>
            <w:tcW w:type="dxa" w:w="2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Saída bloqueada</w:t>
            </w:r>
          </w:p>
        </w:tc>
        <w:tc>
          <w:tcPr>
            <w:tcW w:type="dxa" w:w="6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Confira saldo e lotes. Não habilite estoque negativo apenas para contornar o erro.</w:t>
            </w:r>
          </w:p>
        </w:tc>
      </w:tr>
      <w:tr>
        <w:tc>
          <w:tcPr>
            <w:tcW w:type="dxa" w:w="2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Inventário não conclui</w:t>
            </w:r>
          </w:p>
        </w:tc>
        <w:tc>
          <w:tcPr>
            <w:tcW w:type="dxa" w:w="6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Preencha contagens pendentes; se houve movimento durante a contagem, investigue e reinicie.</w:t>
            </w:r>
          </w:p>
        </w:tc>
      </w:tr>
      <w:tr>
        <w:tc>
          <w:tcPr>
            <w:tcW w:type="dxa" w:w="2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Backup falhou</w:t>
            </w:r>
          </w:p>
        </w:tc>
        <w:tc>
          <w:tcPr>
            <w:tcW w:type="dxa" w:w="6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Reconecte a unidade, confirme pasta, espaço e permissão; execute novo backup manual.</w:t>
            </w:r>
          </w:p>
        </w:tc>
      </w:tr>
      <w:tr>
        <w:tc>
          <w:tcPr>
            <w:tcW w:type="dxa" w:w="2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Arquivo não restaura</w:t>
            </w:r>
          </w:p>
        </w:tc>
        <w:tc>
          <w:tcPr>
            <w:tcW w:type="dxa" w:w="6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Use um .sqlite3 original da Cubexa; não force a importação.</w:t>
            </w:r>
          </w:p>
        </w:tc>
      </w:tr>
      <w:tr>
        <w:tc>
          <w:tcPr>
            <w:tcW w:type="dxa" w:w="2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Produto duplicado na importação</w:t>
            </w:r>
          </w:p>
        </w:tc>
        <w:tc>
          <w:tcPr>
            <w:tcW w:type="dxa" w:w="6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Revise SKU/código de barras e mapeamento antes de repetir.</w:t>
            </w:r>
          </w:p>
        </w:tc>
      </w:tr>
      <w:tr>
        <w:tc>
          <w:tcPr>
            <w:tcW w:type="dxa" w:w="2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Tela sem ação de edição</w:t>
            </w:r>
          </w:p>
        </w:tc>
        <w:tc>
          <w:tcPr>
            <w:tcW w:type="dxa" w:w="6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Confirme se o perfil é Operador/Administrador e se a ação exige Administrador.</w:t>
            </w:r>
          </w:p>
        </w:tc>
      </w:tr>
      <w:tr>
        <w:tc>
          <w:tcPr>
            <w:tcW w:type="dxa" w:w="2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Saldo incorreto</w:t>
            </w:r>
          </w:p>
        </w:tc>
        <w:tc>
          <w:tcPr>
            <w:tcW w:type="dxa" w:w="69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t>Consulte movimentos, estornos e auditoria; faça ajuste documentado ou inventário.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b/>
          <w:color w:val="000000"/>
          <w:u w:val="none"/>
        </w:rPr>
        <w:t>22 Checklist de encerramento diário</w:t>
      </w:r>
    </w:p>
    <w:p>
      <w:pPr>
        <w:pStyle w:val="ListBullet"/>
      </w:pPr>
      <w:r>
        <w:t>Rascunhos importantes salvos e documentos recebidos/finalizados corretamente.</w:t>
      </w:r>
    </w:p>
    <w:p>
      <w:pPr>
        <w:pStyle w:val="ListBullet"/>
      </w:pPr>
      <w:r>
        <w:t>Nenhum inventário iniciado por engano ou deixado sem responsável.</w:t>
      </w:r>
    </w:p>
    <w:p>
      <w:pPr>
        <w:pStyle w:val="ListBullet"/>
      </w:pPr>
      <w:r>
        <w:t>Alertas críticos revisados.</w:t>
      </w:r>
    </w:p>
    <w:p>
      <w:pPr>
        <w:pStyle w:val="ListBullet"/>
      </w:pPr>
      <w:r>
        <w:t>Backup automático concluído ou backup manual criado.</w:t>
      </w:r>
    </w:p>
    <w:p>
      <w:pPr>
        <w:pStyle w:val="ListBullet"/>
      </w:pPr>
      <w:r>
        <w:t>Drive externo mantido conectado até o fim da cópia e depois ejetado com segurança, quando aplicável.</w:t>
      </w:r>
    </w:p>
    <w:p>
      <w:pPr>
        <w:pStyle w:val="ListBullet"/>
      </w:pPr>
      <w:r>
        <w:t>Sessão encerrada.</w:t>
      </w:r>
    </w:p>
    <w:p>
      <w:pPr>
        <w:pStyle w:val="Heading1"/>
      </w:pPr>
      <w:r>
        <w:rPr>
          <w:b/>
          <w:color w:val="000000"/>
          <w:u w:val="none"/>
        </w:rPr>
        <w:t>23 Instalar e atualizar a versão 1 2 0</w:t>
      </w:r>
    </w:p>
    <w:p>
      <w:pPr>
        <w:pStyle w:val="ListNumber"/>
      </w:pPr>
      <w:r>
        <w:t>Execute Cubexa-Setup-1.2.0.exe.</w:t>
      </w:r>
    </w:p>
    <w:p>
      <w:pPr>
        <w:pStyle w:val="ListNumber"/>
      </w:pPr>
      <w:r>
        <w:t>Leia as boas-vindas e os Termos de Licença e Uso. Marque o aceite para habilitar o botão Próximo.</w:t>
      </w:r>
    </w:p>
    <w:p>
      <w:pPr>
        <w:pStyle w:val="ListNumber"/>
      </w:pPr>
      <w:r>
        <w:t>Escolha o usuário do Windows e a pasta de instalação.</w:t>
      </w:r>
    </w:p>
    <w:p>
      <w:pPr>
        <w:pStyle w:val="ListNumber"/>
      </w:pPr>
      <w:r>
        <w:t>Selecione Normal para manter os dados no perfil do Windows ou Portátil para manter os dados comerciais em CubexaData junto do programa.</w:t>
      </w:r>
    </w:p>
    <w:p>
      <w:pPr>
        <w:pStyle w:val="ListNumber"/>
      </w:pPr>
      <w:r>
        <w:t>Conclua a instalação. Em uma atualização, abra Configurações e Sobre e confirme a versão 1.2.0.</w:t>
      </w:r>
    </w:p>
    <w:p>
      <w:r>
        <w:t>Importante. No modo Portátil, não remova a unidade nem renomeie CubexaData com a Cubexa aberta. Use a remoção segura e mantenha uma cópia de backup separada.</w:t>
      </w:r>
    </w:p>
    <w:p>
      <w:pPr>
        <w:pStyle w:val="Heading1"/>
      </w:pPr>
      <w:r>
        <w:rPr>
          <w:b/>
          <w:color w:val="000000"/>
          <w:u w:val="none"/>
        </w:rPr>
        <w:t>24 Consultar e administrar a licença</w:t>
      </w:r>
    </w:p>
    <w:p>
      <w:pPr>
        <w:pStyle w:val="ListNumber"/>
      </w:pPr>
      <w:r>
        <w:t>Acesse Configurações e Licença.</w:t>
      </w:r>
    </w:p>
    <w:p>
      <w:pPr>
        <w:pStyle w:val="ListNumber"/>
      </w:pPr>
      <w:r>
        <w:t>Confira plano, estado, validade, consumo de produtos e usuários e dispositivo atual.</w:t>
      </w:r>
    </w:p>
    <w:p>
      <w:pPr>
        <w:pStyle w:val="ListNumber"/>
      </w:pPr>
      <w:r>
        <w:t>Para ativar uma licença paga, informe a chave fornecida e conclua a ativação com internet disponível.</w:t>
      </w:r>
    </w:p>
    <w:p>
      <w:pPr>
        <w:pStyle w:val="ListNumber"/>
      </w:pPr>
      <w:r>
        <w:t>Use Revalidar quando orientado pelo suporte. Uma licença local válida continua operando offline.</w:t>
      </w:r>
    </w:p>
    <w:p>
      <w:pPr>
        <w:pStyle w:val="ListNumber"/>
      </w:pPr>
      <w:r>
        <w:t>Use Desativar dispositivo somente quando precisar transferir a licença ou liberar a vaga. Confirme a ação.</w:t>
      </w:r>
    </w:p>
    <w:p>
      <w:r>
        <w:t>Se a licença não permitir escrita, a Cubexa mantém consultas, relatórios, exportações e backups. Regularize a licença para voltar a registrar operações.</w:t>
      </w:r>
    </w:p>
    <w:p>
      <w:pPr>
        <w:pStyle w:val="Heading1"/>
      </w:pPr>
      <w:r>
        <w:rPr>
          <w:b/>
          <w:color w:val="000000"/>
          <w:u w:val="none"/>
        </w:rPr>
        <w:t>25 Gerar pedido de compra e configurar impressão</w:t>
      </w:r>
    </w:p>
    <w:p>
      <w:pPr>
        <w:pStyle w:val="ListNumber"/>
      </w:pPr>
      <w:r>
        <w:t>Abra Compras e selecione um pedido.</w:t>
      </w:r>
    </w:p>
    <w:p>
      <w:pPr>
        <w:pStyle w:val="ListNumber"/>
      </w:pPr>
      <w:r>
        <w:t>Revise fornecedor, situação, itens, recebimentos, valores e observações.</w:t>
      </w:r>
    </w:p>
    <w:p>
      <w:pPr>
        <w:pStyle w:val="ListNumber"/>
      </w:pPr>
      <w:r>
        <w:t>Abra a prévia do pedido A4 e use Salvar PDF ou Imprimir. Cancelar a impressão não altera a compra.</w:t>
      </w:r>
    </w:p>
    <w:p>
      <w:pPr>
        <w:pStyle w:val="ListNumber"/>
      </w:pPr>
      <w:r>
        <w:t>Para calibrar o dispositivo, acesse Configurações e Impressão. Escolha A4, 58 mm, 80 mm ou Personalizado, impressora, margens, escala, fonte, logo e compatibilidade de caracteres.</w:t>
      </w:r>
    </w:p>
    <w:p>
      <w:pPr>
        <w:pStyle w:val="ListNumber"/>
      </w:pPr>
      <w:r>
        <w:t>Faça uma impressão de teste e salve o perfil local.</w:t>
      </w:r>
    </w:p>
    <w:p>
      <w:pPr>
        <w:pStyle w:val="Heading1"/>
      </w:pPr>
      <w:r>
        <w:rPr>
          <w:b/>
          <w:color w:val="000000"/>
          <w:u w:val="none"/>
        </w:rPr>
        <w:t>26 Operar o PDV e emitir comprovante</w:t>
      </w:r>
    </w:p>
    <w:p>
      <w:pPr>
        <w:pStyle w:val="ListNumber"/>
      </w:pPr>
      <w:r>
        <w:t>Acesse Vendas e abra o PDV. Se não houver caixa aberto, siga o direcionamento para abrir uma sessão.</w:t>
      </w:r>
    </w:p>
    <w:p>
      <w:pPr>
        <w:pStyle w:val="ListNumber"/>
      </w:pPr>
      <w:r>
        <w:t>Busque por nome, SKU ou código de barras. Para várias unidades, use quantidade*código, como 5*7890000000000.</w:t>
      </w:r>
    </w:p>
    <w:p>
      <w:pPr>
        <w:pStyle w:val="ListNumber"/>
      </w:pPr>
      <w:r>
        <w:t>Revise quantidade, preço, desconto e avisos de falta de estoque.</w:t>
      </w:r>
    </w:p>
    <w:p>
      <w:pPr>
        <w:pStyle w:val="ListNumber"/>
      </w:pPr>
      <w:r>
        <w:t>Identifique o cliente quando necessário e selecione uma ou mais formas de pagamento.</w:t>
      </w:r>
    </w:p>
    <w:p>
      <w:pPr>
        <w:pStyle w:val="ListNumber"/>
      </w:pPr>
      <w:r>
        <w:t>Em dinheiro, informe o valor recebido e confira o troco.</w:t>
      </w:r>
    </w:p>
    <w:p>
      <w:pPr>
        <w:pStyle w:val="ListNumber"/>
      </w:pPr>
      <w:r>
        <w:t>Selecione Finalizar. O sistema revalida estoque, lotes, pagamentos e caixa na transação.</w:t>
      </w:r>
    </w:p>
    <w:p>
      <w:pPr>
        <w:pStyle w:val="ListNumber"/>
      </w:pPr>
      <w:r>
        <w:t>No pop-up pós-venda, imprima, salve o comprovante ou saia. Falha de impressão não desfaz a venda concluída.</w:t>
      </w:r>
    </w:p>
    <w:p>
      <w:pPr>
        <w:pStyle w:val="Heading1"/>
      </w:pPr>
      <w:r>
        <w:rPr>
          <w:b/>
          <w:color w:val="000000"/>
          <w:u w:val="none"/>
        </w:rPr>
        <w:t>27 Controlar caixa e fechamento diário</w:t>
      </w:r>
    </w:p>
    <w:p>
      <w:pPr>
        <w:pStyle w:val="ListNumber"/>
      </w:pPr>
      <w:r>
        <w:t>Acesse Vendas e Caixa e fechamento.</w:t>
      </w:r>
    </w:p>
    <w:p>
      <w:pPr>
        <w:pStyle w:val="ListNumber"/>
      </w:pPr>
      <w:r>
        <w:t>Abra o caixa e informe o saldo inicial. A sessão pertence ao operador neste computador.</w:t>
      </w:r>
    </w:p>
    <w:p>
      <w:pPr>
        <w:pStyle w:val="ListNumber"/>
      </w:pPr>
      <w:r>
        <w:t>Registre Suprimento para entrada avulsa ou Sangria para retirada de dinheiro, sempre com motivo.</w:t>
      </w:r>
    </w:p>
    <w:p>
      <w:pPr>
        <w:pStyle w:val="ListNumber"/>
      </w:pPr>
      <w:r>
        <w:t>Use o PDV. Vendas e cancelamentos em dinheiro atualizam o caixa na mesma transação.</w:t>
      </w:r>
    </w:p>
    <w:p>
      <w:pPr>
        <w:pStyle w:val="ListNumber"/>
      </w:pPr>
      <w:r>
        <w:t>No encerramento, informe a contagem física e justifique qualquer diferença.</w:t>
      </w:r>
    </w:p>
    <w:p>
      <w:pPr>
        <w:pStyle w:val="ListNumber"/>
      </w:pPr>
      <w:r>
        <w:t>Revise o histórico e gere o fechamento da competência. Administradores podem revisar ou reabrir com registro de auditoria.</w:t>
      </w:r>
    </w:p>
    <w:p>
      <w:pPr>
        <w:pStyle w:val="ListNumber"/>
      </w:pPr>
      <w:r>
        <w:t>Salve o PDF gerencial e, se configurado, acompanhe o envio por e-mail.</w:t>
      </w:r>
    </w:p>
    <w:p>
      <w:pPr>
        <w:pStyle w:val="Heading1"/>
      </w:pPr>
      <w:r>
        <w:rPr>
          <w:b/>
          <w:color w:val="000000"/>
          <w:u w:val="none"/>
        </w:rPr>
        <w:t>28 Configurar o envio de fechamento por e mail</w:t>
      </w:r>
    </w:p>
    <w:p>
      <w:pPr>
        <w:pStyle w:val="ListNumber"/>
      </w:pPr>
      <w:r>
        <w:t>Entre como Administrador e acesse Configurações e E-mail.</w:t>
      </w:r>
    </w:p>
    <w:p>
      <w:pPr>
        <w:pStyle w:val="ListNumber"/>
      </w:pPr>
      <w:r>
        <w:t>Informe servidor SMTP, porta, TLS, usuário, senha, remetente e destinatários.</w:t>
      </w:r>
    </w:p>
    <w:p>
      <w:pPr>
        <w:pStyle w:val="ListNumber"/>
      </w:pPr>
      <w:r>
        <w:t>Teste a conexão e salve. A senha fica protegida pelo armazenamento seguro do Windows.</w:t>
      </w:r>
    </w:p>
    <w:p>
      <w:pPr>
        <w:pStyle w:val="ListNumber"/>
      </w:pPr>
      <w:r>
        <w:t>No fechamento diário, solicite o envio. Falhas temporárias entram na fila de nova tentativa sem repetir mensagens confirmadas.</w:t>
      </w:r>
    </w:p>
    <w:p>
      <w:pPr>
        <w:pStyle w:val="Heading1"/>
      </w:pPr>
      <w:r>
        <w:rPr>
          <w:b/>
          <w:color w:val="000000"/>
          <w:u w:val="none"/>
        </w:rPr>
        <w:t>29 Cadastrar receita e concluir produção</w:t>
      </w:r>
    </w:p>
    <w:p>
      <w:pPr>
        <w:pStyle w:val="ListNumber"/>
      </w:pPr>
      <w:r>
        <w:t>Acesse Manufatura e cadastre uma receita com produto de saída, rendimento, vigência e insumos.</w:t>
      </w:r>
    </w:p>
    <w:p>
      <w:pPr>
        <w:pStyle w:val="ListNumber"/>
      </w:pPr>
      <w:r>
        <w:t>Crie uma ordem em Rascunho e revise a necessidade calculada.</w:t>
      </w:r>
    </w:p>
    <w:p>
      <w:pPr>
        <w:pStyle w:val="ListNumber"/>
      </w:pPr>
      <w:r>
        <w:t>Emita a ordem. A emissão valida os dados, mas não reserva estoque.</w:t>
      </w:r>
    </w:p>
    <w:p>
      <w:pPr>
        <w:pStyle w:val="ListNumber"/>
      </w:pPr>
      <w:r>
        <w:t>Na conclusão, informe produção efetiva, perdas, custos adicionais e lote do produto acabado quando exigido.</w:t>
      </w:r>
    </w:p>
    <w:p>
      <w:pPr>
        <w:pStyle w:val="ListNumber"/>
      </w:pPr>
      <w:r>
        <w:t>Revise a prévia e confirme. O sistema consome insumos por FEFO e calcula o custo real na mesma transação.</w:t>
      </w:r>
    </w:p>
    <w:p>
      <w:pPr>
        <w:pStyle w:val="ListNumber"/>
      </w:pPr>
      <w:r>
        <w:t>Consulte o histórico e a exportação JSON. Correções usam estorno integral quando permitido.</w:t>
      </w:r>
    </w:p>
    <w:p>
      <w:pPr>
        <w:pStyle w:val="Heading1"/>
      </w:pPr>
      <w:r>
        <w:rPr>
          <w:b/>
          <w:color w:val="000000"/>
          <w:u w:val="none"/>
        </w:rPr>
        <w:t>30 Vender e receber pelo crediário</w:t>
      </w:r>
    </w:p>
    <w:p>
      <w:pPr>
        <w:pStyle w:val="ListNumber"/>
      </w:pPr>
      <w:r>
        <w:t>Cadastre ou abra um cliente ativo e configure o limite quando necessário.</w:t>
      </w:r>
    </w:p>
    <w:p>
      <w:pPr>
        <w:pStyle w:val="ListNumber"/>
      </w:pPr>
      <w:r>
        <w:t>No PDV, identifique o cliente e informe entrada, quantidade de parcelas e primeiro vencimento.</w:t>
      </w:r>
    </w:p>
    <w:p>
      <w:pPr>
        <w:pStyle w:val="ListNumber"/>
      </w:pPr>
      <w:r>
        <w:t>Revise vencimentos e valores. O sistema distribui os centavos entre as primeiras parcelas.</w:t>
      </w:r>
    </w:p>
    <w:p>
      <w:pPr>
        <w:pStyle w:val="ListNumber"/>
      </w:pPr>
      <w:r>
        <w:t>Se o saldo ultrapassar o limite, um Administrador deve autorizar e justificar.</w:t>
      </w:r>
    </w:p>
    <w:p>
      <w:pPr>
        <w:pStyle w:val="ListNumber"/>
      </w:pPr>
      <w:r>
        <w:t>Finalize a venda e abra o crediário do cliente para consultar parcelas abertas, parciais, pagas, vencidas ou canceladas.</w:t>
      </w:r>
    </w:p>
    <w:p>
      <w:pPr>
        <w:pStyle w:val="ListNumber"/>
      </w:pPr>
      <w:r>
        <w:t>Registre o recebimento. Dinheiro exige caixa aberto; PIX e cartões não alteram o caixa físico.</w:t>
      </w:r>
    </w:p>
    <w:p>
      <w:pPr>
        <w:pStyle w:val="ListNumber"/>
      </w:pPr>
      <w:r>
        <w:t>Para corrigir um recebimento, estorne o lançamento integral e registre o valor correto.</w:t>
      </w:r>
    </w:p>
    <w:p>
      <w:pPr>
        <w:pStyle w:val="Heading1"/>
      </w:pPr>
      <w:r>
        <w:rPr>
          <w:b/>
          <w:color w:val="000000"/>
          <w:u w:val="none"/>
        </w:rPr>
        <w:t>31 Transformar produtos e unidades</w:t>
      </w:r>
    </w:p>
    <w:p>
      <w:pPr>
        <w:pStyle w:val="ListNumber"/>
      </w:pPr>
      <w:r>
        <w:t>Acesse Transformações e escolha um perfil ou crie uma nova versão.</w:t>
      </w:r>
    </w:p>
    <w:p>
      <w:pPr>
        <w:pStyle w:val="ListNumber"/>
      </w:pPr>
      <w:r>
        <w:t>Selecione variantes de origem e destino diferentes.</w:t>
      </w:r>
    </w:p>
    <w:p>
      <w:pPr>
        <w:pStyle w:val="ListNumber"/>
      </w:pPr>
      <w:r>
        <w:t>Informe quantidade de origem, fator, perda técnica, baixa explícita de valor e custo adicional quando houver.</w:t>
      </w:r>
    </w:p>
    <w:p>
      <w:pPr>
        <w:pStyle w:val="ListNumber"/>
      </w:pPr>
      <w:r>
        <w:t>Revise a quantidade líquida e o custo transferido. Custo zero exige confirmação explícita.</w:t>
      </w:r>
    </w:p>
    <w:p>
      <w:pPr>
        <w:pStyle w:val="ListNumber"/>
      </w:pPr>
      <w:r>
        <w:t>Confira os lotes consumidos por FEFO e a validade herdada. O sistema não estende a validade silenciosamente.</w:t>
      </w:r>
    </w:p>
    <w:p>
      <w:pPr>
        <w:pStyle w:val="ListNumber"/>
      </w:pPr>
      <w:r>
        <w:t>Confirme. Saldo insuficiente bloqueia a operação mesmo quando o estoque negativo estiver habilitado.</w:t>
      </w:r>
    </w:p>
    <w:p>
      <w:pPr>
        <w:pStyle w:val="ListNumber"/>
      </w:pPr>
      <w:r>
        <w:t>Consulte o documento, a genealogia e a exportação JSON. O estorno integral depende da ausência de operações posteriores.</w:t>
      </w:r>
    </w:p>
    <w:p>
      <w:pPr>
        <w:pStyle w:val="Heading1"/>
      </w:pPr>
      <w:r>
        <w:rPr>
          <w:b/>
          <w:color w:val="000000"/>
          <w:u w:val="none"/>
        </w:rPr>
        <w:t>32 Boas práticas da versão 1 2 0</w:t>
      </w:r>
    </w:p>
    <w:p>
      <w:pPr>
        <w:pStyle w:val="ListBullet"/>
      </w:pPr>
      <w:r>
        <w:t>Crie e teste um backup antes de atualizar. Depois, confirme a versão em Sobre e faça uma operação de amostra.</w:t>
      </w:r>
    </w:p>
    <w:p>
      <w:pPr>
        <w:pStyle w:val="ListBullet"/>
      </w:pPr>
      <w:r>
        <w:t>No modo Portátil, use uma unidade confiável e remoção segura. Portabilidade não substitui backup.</w:t>
      </w:r>
    </w:p>
    <w:p>
      <w:pPr>
        <w:pStyle w:val="ListBullet"/>
      </w:pPr>
      <w:r>
        <w:t>Abra um caixa por operador e computador. Não compartilhe sessões e justifique suprimentos, sangrias e diferenças.</w:t>
      </w:r>
    </w:p>
    <w:p>
      <w:pPr>
        <w:pStyle w:val="ListBullet"/>
      </w:pPr>
      <w:r>
        <w:t>Calibre os comprovantes em cada computador e mantenha um perfil A4 para contingência.</w:t>
      </w:r>
    </w:p>
    <w:p>
      <w:pPr>
        <w:pStyle w:val="ListBullet"/>
      </w:pPr>
      <w:r>
        <w:t>Revise receitas e perfis de transformação antes de emitir documentos. Alterações futuras criam uma nova versão sem apagar o histórico.</w:t>
      </w:r>
    </w:p>
    <w:p>
      <w:pPr>
        <w:pStyle w:val="ListBullet"/>
      </w:pPr>
      <w:r>
        <w:t>Concilie contas a receber e parcelas vencidas diariamente. Devoluções externas devem ocorrer no meio de pagamento original.</w:t>
      </w:r>
    </w:p>
    <w:p>
      <w:pPr>
        <w:pStyle w:val="ListBullet"/>
      </w:pPr>
      <w:r>
        <w:t>Confira a ação exibida antes de usar F2.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Versão 1.2.0  •  Setembro de 2026  • 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00000"/>
        <w:sz w:val="17"/>
      </w:rPr>
      <w:t>CUBEXA  |  MANUAL DO USUÁRIO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20262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6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Theme="majorHAnsi" w:eastAsiaTheme="majorEastAsia" w:hAnsiTheme="majorHAnsi" w:cstheme="majorBidi" w:ascii="Calibri" w:hAnsi="Calibri"/>
      <w:b w:val="0"/>
      <w:i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do Usuário da Cubexa Versão 1.2.0</dc:title>
  <dc:subject>Procedimentos operacionais e backup</dc:subject>
  <dc:creator>Cubexa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