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3"/>
        <w:jc w:val="center"/>
      </w:pPr>
      <w:r>
        <w:rPr>
          <w:b/>
          <w:color w:val="000000"/>
          <w:u w:val="none"/>
        </w:rPr>
        <w:t>CUBEXA</w:t>
      </w:r>
    </w:p>
    <w:p>
      <w:pPr>
        <w:spacing w:after="1520"/>
      </w:pPr>
    </w:p>
    <w:p>
      <w:pPr>
        <w:jc w:val="center"/>
      </w:pPr>
      <w:r>
        <w:rPr>
          <w:b/>
          <w:color w:val="C58B2A"/>
          <w:sz w:val="20"/>
        </w:rPr>
        <w:t>REFERÊNCIA TÉCNICA</w:t>
      </w:r>
    </w:p>
    <w:p>
      <w:pPr>
        <w:pStyle w:val="Title"/>
        <w:jc w:val="center"/>
      </w:pPr>
      <w:r>
        <w:rPr>
          <w:b/>
          <w:color w:val="000000"/>
          <w:u w:val="none"/>
        </w:rPr>
        <w:t>Cubexa Documentação Técnica</w:t>
      </w:r>
    </w:p>
    <w:p>
      <w:pPr>
        <w:pStyle w:val="Subtitle"/>
        <w:jc w:val="center"/>
      </w:pPr>
      <w:r>
        <w:t>Arquitetura, dados, segurança, implantação e manutenção da versão 1.2.0</w:t>
      </w:r>
    </w:p>
    <w:p>
      <w:pPr>
        <w:spacing w:after="1760"/>
      </w:pPr>
    </w:p>
    <w:p>
      <w:pPr>
        <w:jc w:val="center"/>
      </w:pPr>
      <w:r>
        <w:t>Versão documentada: 1.2.0</w:t>
      </w:r>
    </w:p>
    <w:p>
      <w:pPr>
        <w:jc w:val="center"/>
      </w:pPr>
      <w:r>
        <w:rPr>
          <w:i/>
          <w:color w:val="5B6570"/>
        </w:rPr>
        <w:t>Público: desenvolvimento, suporte, implantação e administração de TI</w:t>
      </w:r>
    </w:p>
    <w:p>
      <w:pPr>
        <w:jc w:val="center"/>
      </w:pPr>
      <w:r>
        <w:t>Emitido em 03/09/2026</w:t>
      </w:r>
    </w:p>
    <w:p>
      <w:r>
        <w:br w:type="page"/>
      </w:r>
    </w:p>
    <w:p>
      <w:pPr>
        <w:pStyle w:val="Heading1"/>
      </w:pPr>
      <w:r>
        <w:rPr>
          <w:b/>
          <w:color w:val="000000"/>
          <w:u w:val="none"/>
        </w:rPr>
        <w:t>Controle do documento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Campo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Valor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Produto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Cubexa (identificadores internos legados “NexoStock”)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Versão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1.2.0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Plataforma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Windows 10/11 x64, aplicação desktop com instalação Normal ou Portátil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Base documental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Código-fonte, migrações, contratos IPC, serviços, testes e README da versão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Escopo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Estoque, operação comercial, licenciamento, documentos, PDV, caixa, manufatura, crediário e transformações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4D6"/>
          </w:tcPr>
          <w:p>
            <w:pPr>
              <w:spacing w:after="0"/>
            </w:pPr>
            <w:r>
              <w:rPr>
                <w:b/>
                <w:color w:val="7A5A00"/>
              </w:rPr>
              <w:t xml:space="preserve">Nota de identidade: </w:t>
            </w:r>
            <w:r>
              <w:t>O nome comercial é Cubexa. O arquivo nexostock.sqlite3, a bridge window.nexostock e o App ID com.nexostock.desktop foram preservados por compatibilidade; não devem ser renomeados em manutenção corretiva sem plano de migração.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Destaques da versão 1 2 0</w:t>
      </w:r>
    </w:p>
    <w:p>
      <w:r>
        <w:t>A versão 1.2.0 mantém o catálogo, o estoque, as compras, as vendas, os inventários, os relatórios e a administração da versão 1.0.0. A atualização amplia a operação com os recursos abaixo e executa as migrações 009 a 016 após um backup verificado.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2520"/>
            <w:shd w:fill="17324D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rPr>
                <w:b/>
                <w:color w:val="FFFFFF"/>
              </w:rPr>
              <w:t>Área</w:t>
            </w:r>
          </w:p>
        </w:tc>
        <w:tc>
          <w:tcPr>
            <w:tcW w:type="dxa" w:w="6840"/>
            <w:shd w:fill="17324D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rPr>
                <w:b/>
                <w:color w:val="FFFFFF"/>
              </w:rPr>
              <w:t>Mudança incorporada</w:t>
            </w:r>
          </w:p>
        </w:tc>
      </w:tr>
      <w:tr>
        <w:tc>
          <w:tcPr>
            <w:tcW w:type="dxa" w:w="2520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Instalação e dados</w:t>
            </w:r>
          </w:p>
        </w:tc>
        <w:tc>
          <w:tcPr>
            <w:tcW w:type="dxa" w:w="6840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Modos Normal e Portátil, preservação de dados, bloqueio concorrente da pasta e validação da unidade.</w:t>
            </w:r>
          </w:p>
        </w:tc>
      </w:tr>
      <w:tr>
        <w:tc>
          <w:tcPr>
            <w:tcW w:type="dxa" w:w="2520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Licenciamento</w:t>
            </w:r>
          </w:p>
        </w:tc>
        <w:tc>
          <w:tcPr>
            <w:tcW w:type="dxa" w:w="6840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Demo, Básico e Profissional, certificados Ed25519, operação offline e modo somente leitura.</w:t>
            </w:r>
          </w:p>
        </w:tc>
      </w:tr>
      <w:tr>
        <w:tc>
          <w:tcPr>
            <w:tcW w:type="dxa" w:w="2520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Documentos</w:t>
            </w:r>
          </w:p>
        </w:tc>
        <w:tc>
          <w:tcPr>
            <w:tcW w:type="dxa" w:w="6840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Pedido de compra A4 com histórico, prévia, PDF e impressão; perfis A4, 58 mm, 80 mm e personalizado.</w:t>
            </w:r>
          </w:p>
        </w:tc>
      </w:tr>
      <w:tr>
        <w:tc>
          <w:tcPr>
            <w:tcW w:type="dxa" w:w="2520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Vendas</w:t>
            </w:r>
          </w:p>
        </w:tc>
        <w:tc>
          <w:tcPr>
            <w:tcW w:type="dxa" w:w="6840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PDV, pagamentos divididos, troco e comprovantes não fiscais com proteção contra finalização repetida.</w:t>
            </w:r>
          </w:p>
        </w:tc>
      </w:tr>
      <w:tr>
        <w:tc>
          <w:tcPr>
            <w:tcW w:type="dxa" w:w="2520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Caixa</w:t>
            </w:r>
          </w:p>
        </w:tc>
        <w:tc>
          <w:tcPr>
            <w:tcW w:type="dxa" w:w="6840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Caixa por operador e computador, suprimento, sangria, encerramento contado, fechamento diário, PDF e SMTP.</w:t>
            </w:r>
          </w:p>
        </w:tc>
      </w:tr>
      <w:tr>
        <w:tc>
          <w:tcPr>
            <w:tcW w:type="dxa" w:w="2520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Novos módulos</w:t>
            </w:r>
          </w:p>
        </w:tc>
        <w:tc>
          <w:tcPr>
            <w:tcW w:type="dxa" w:w="6840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Manufatura, crediário e transformação rastreável entre produtos e unidades.</w:t>
            </w:r>
          </w:p>
        </w:tc>
      </w:tr>
      <w:tr>
        <w:tc>
          <w:tcPr>
            <w:tcW w:type="dxa" w:w="2520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Qualidade</w:t>
            </w:r>
          </w:p>
        </w:tc>
        <w:tc>
          <w:tcPr>
            <w:tcW w:type="dxa" w:w="6840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Atalho F2 contextual, Esc nas janelas, correções de foco e sessão; 307 testes aprovados em 38 arquivos.</w:t>
            </w:r>
          </w:p>
        </w:tc>
      </w:tr>
    </w:tbl>
    <w:p>
      <w:pPr>
        <w:pStyle w:val="Heading1"/>
      </w:pPr>
      <w:r>
        <w:rPr>
          <w:b/>
          <w:color w:val="000000"/>
          <w:u w:val="none"/>
        </w:rPr>
        <w:t>Sumário executivo</w:t>
      </w:r>
    </w:p>
    <w:p>
      <w:r>
        <w:t>A Cubexa é um sistema de controle de estoque para microempresas, distribuído como aplicativo Electron e projetado para funcionar integralmente no computador do cliente. A interface React não acessa o sistema de arquivos nem o banco diretamente. Todas as operações atravessam uma bridge tipada do preload, controladores IPC e serviços de aplicação que aplicam autorização e transações SQLite.</w:t>
      </w:r>
    </w:p>
    <w:p>
      <w:pPr>
        <w:pStyle w:val="ListBullet"/>
      </w:pPr>
      <w:r>
        <w:t>Catálogo com categorias, produtos, variações, SKU, código de barras, preços, níveis de estoque, imagens, lote e validade.</w:t>
      </w:r>
    </w:p>
    <w:p>
      <w:pPr>
        <w:pStyle w:val="ListBullet"/>
      </w:pPr>
      <w:r>
        <w:t>Movimentação central e imutável, compras e recebimentos, vendas e cancelamentos, inventários, lotes, reposição e relatórios.</w:t>
      </w:r>
    </w:p>
    <w:p>
      <w:pPr>
        <w:pStyle w:val="ListBullet"/>
      </w:pPr>
      <w:r>
        <w:t>Administração local com usuários e perfis, auditoria, configurações, backup/restauração e recuperação de senha.</w:t>
      </w:r>
    </w:p>
    <w:p>
      <w:pPr>
        <w:pStyle w:val="ListBullet"/>
      </w:pPr>
      <w:r>
        <w:t>Sem dependência de internet para a operação normal; os dados permanecem no perfil local do Windows.</w:t>
      </w:r>
    </w:p>
    <w:p>
      <w:pPr>
        <w:pStyle w:val="Heading1"/>
      </w:pPr>
      <w:r>
        <w:rPr>
          <w:b/>
          <w:color w:val="000000"/>
          <w:u w:val="none"/>
        </w:rPr>
        <w:t>1 Arquitetura e tecnologias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Componente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Tecnologia / responsabilidade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Renderer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React 19 + TypeScript strict; UI, acessibilidade e estado de tela.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Desktop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Electron 37; janela, ciclo de vida, diálogos e empacotamento.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Bridge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Preload com contextIsolation e API mínima window.nexostock.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Aplicação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Serviços TypeScript; autorização, validações e limite transacional.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Persistência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SQLite via better-sqlite3; migrações versionadas.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Build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Vite 7 e Electron Builder/NSIS.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Exportação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ExcelJS para XLSX; geradores locais para PDF e CSV.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Testes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Vitest com 307 testes aprovados em 38 arquivos na liberação 1.2.0.</w:t>
            </w:r>
          </w:p>
        </w:tc>
      </w:tr>
    </w:tbl>
    <w:p>
      <w:pPr>
        <w:spacing w:after="40"/>
      </w:pPr>
    </w:p>
    <w:p>
      <w:r>
        <w:t>Fluxo lógico: Renderer → preload tipado → handlers IPC → serviços de aplicação → regras de domínio → repositórios/SQLite. Erros técnicos são convertidos em códigos estáveis e mensagens compreensíveis antes de retornar à interface.</w:t>
      </w:r>
    </w:p>
    <w:p>
      <w:pPr>
        <w:pStyle w:val="Heading1"/>
      </w:pPr>
      <w:r>
        <w:rPr>
          <w:b/>
          <w:color w:val="000000"/>
          <w:u w:val="none"/>
        </w:rPr>
        <w:t>2 Estrutura do repositório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Diretório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Conteúdo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src/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Aplicação React, componentes, estilos e features.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electron/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Main, preload, IPC, contratos, serviços, banco e migrações.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tests/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Testes automatizados de catálogo, estoque, compras, vendas, inventário, relatórios, administração e erros.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docs/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Arquitetura e checklist de release.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resources/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Ícones e recursos de empacotamento.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release/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Instaladores e artefatos gerados.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3 Banco de dados e integridade</w:t>
      </w:r>
    </w:p>
    <w:p>
      <w:pPr>
        <w:pStyle w:val="ListBullet"/>
      </w:pPr>
      <w:r>
        <w:t>Arquivo: data/nexostock.sqlite3 dentro do userData do Electron. Em instalações novas no Windows, o diretório base é %APPDATA%\Cubexa.</w:t>
      </w:r>
    </w:p>
    <w:p>
      <w:pPr>
        <w:pStyle w:val="ListBullet"/>
      </w:pPr>
      <w:r>
        <w:t>Ao detectar a identidade anterior, dados e imagens de %APPDATA%\NexoStock são copiados para o novo local sem apagar a origem.</w:t>
      </w:r>
    </w:p>
    <w:p>
      <w:pPr>
        <w:pStyle w:val="ListBullet"/>
      </w:pPr>
      <w:r>
        <w:t>PRAGMAs: foreign_keys habilitado, journal_mode WAL, synchronous NORMAL e busy_timeout de 5 segundos.</w:t>
      </w:r>
    </w:p>
    <w:p>
      <w:pPr>
        <w:pStyle w:val="ListBullet"/>
      </w:pPr>
      <w:r>
        <w:t>Migrações são transacionais e registradas em schema_migrations. A versão 1.2.0 inclui as migrações 001 a 016 e cria um backup verificado antes de migrar uma base existente.</w:t>
      </w:r>
    </w:p>
    <w:p>
      <w:pPr>
        <w:pStyle w:val="ListBullet"/>
      </w:pPr>
      <w:r>
        <w:t>Valores monetários são inteiros em centavos; quantidades são inteiros em milionésimos da unidade; datas são ISO 8601 UTC.</w:t>
      </w:r>
    </w:p>
    <w:p>
      <w:pPr>
        <w:pStyle w:val="ListBullet"/>
      </w:pPr>
      <w:r>
        <w:t>Movimentos lançados possuem proteção contra UPDATE e DELETE. Correções criam um movimento inverso relacionado.</w:t>
      </w:r>
    </w:p>
    <w:p>
      <w:pPr>
        <w:pStyle w:val="Heading1"/>
      </w:pPr>
      <w:r>
        <w:rPr>
          <w:b/>
          <w:color w:val="000000"/>
          <w:u w:val="none"/>
        </w:rPr>
        <w:t>4 Modelo de dados essencial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1900"/>
        <w:gridCol w:w="7460"/>
      </w:tblGrid>
      <w:tr>
        <w:trPr>
          <w:tblHeader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Grupo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Entidades e função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Organização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companies, users, settings e audit_logs.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Catálogo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categories, products, product_variants e product_suppliers.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Estoque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stock_balances, stock_movements e lots.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Compras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suppliers, purchases e purchase_items.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Vendas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customers, sales e sale_items.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Inventário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inventories e inventory_items.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Continuidade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backup_history e schema_migrations.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DECEC"/>
          </w:tcPr>
          <w:p>
            <w:pPr>
              <w:spacing w:after="0"/>
            </w:pPr>
            <w:r>
              <w:rPr>
                <w:b/>
                <w:color w:val="9B1C1C"/>
              </w:rPr>
              <w:t xml:space="preserve">Invariante crítica: </w:t>
            </w:r>
            <w:r>
              <w:t>A engine de movimentação é a única autoridade para alterar stock_balances e saldos de lotes. Compras alteram estoque somente no recebimento; vendas, somente na finalização; inventários, somente na conclusão.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5 Regras de negócio críticas</w:t>
      </w:r>
    </w:p>
    <w:p>
      <w:pPr>
        <w:pStyle w:val="ListBullet"/>
      </w:pPr>
      <w:r>
        <w:t>Saídas acima do saldo são bloqueadas, exceto quando a política administrativa de estoque negativo está habilitada.</w:t>
      </w:r>
    </w:p>
    <w:p>
      <w:pPr>
        <w:pStyle w:val="ListBullet"/>
      </w:pPr>
      <w:r>
        <w:t>O custo médio ponderado é recalculado em entradas com custo e congelado nos itens de vendas concluídas.</w:t>
      </w:r>
    </w:p>
    <w:p>
      <w:pPr>
        <w:pStyle w:val="ListBullet"/>
      </w:pPr>
      <w:r>
        <w:t>Produtos rastreados por lote exigem lote nas operações aplicáveis; baixas automáticas utilizam FEFO, priorizando a menor validade.</w:t>
      </w:r>
    </w:p>
    <w:p>
      <w:pPr>
        <w:pStyle w:val="ListBullet"/>
      </w:pPr>
      <w:r>
        <w:t>Pedidos podem ser recebidos parcialmente, mas não acima do pedido. Documentos recebidos não são reeditados como se fossem rascunhos.</w:t>
      </w:r>
    </w:p>
    <w:p>
      <w:pPr>
        <w:pStyle w:val="ListBullet"/>
      </w:pPr>
      <w:r>
        <w:t>Vendas em rascunho não afetam o saldo. O cancelamento de venda concluída devolve estoque por estornos vinculados.</w:t>
      </w:r>
    </w:p>
    <w:p>
      <w:pPr>
        <w:pStyle w:val="ListBullet"/>
      </w:pPr>
      <w:r>
        <w:t>O inventário captura uma fotografia do saldo; sua conclusão falha se houver itens sem contagem ou se o saldo mudar durante a contagem.</w:t>
      </w:r>
    </w:p>
    <w:p>
      <w:pPr>
        <w:pStyle w:val="Heading1"/>
      </w:pPr>
      <w:r>
        <w:rPr>
          <w:b/>
          <w:color w:val="000000"/>
          <w:u w:val="none"/>
        </w:rPr>
        <w:t>6 Segurança e perfis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2100"/>
        <w:gridCol w:w="7260"/>
      </w:tblGrid>
      <w:tr>
        <w:trPr>
          <w:tblHeader w:val="true"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Perfil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Capacidade principal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Administrador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Configura empresa e política de estoque; gerencia catálogo, usuários, auditoria, importação e backups; também opera os demais módulos.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Operador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Registra movimentos, compras, vendas, recebimentos e inventários; não altera configurações administrativas nem o catálogo estrutural.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Consulta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Acesso somente leitura a telas e registros; ações de escrita são ocultadas e bloqueadas no processo principal.</w:t>
            </w:r>
          </w:p>
        </w:tc>
      </w:tr>
    </w:tbl>
    <w:p>
      <w:pPr>
        <w:spacing w:after="40"/>
      </w:pPr>
    </w:p>
    <w:p>
      <w:pPr>
        <w:pStyle w:val="ListBullet"/>
      </w:pPr>
      <w:r>
        <w:t>Senhas usam hash scrypt; comparações são resistentes a timing.</w:t>
      </w:r>
    </w:p>
    <w:p>
      <w:pPr>
        <w:pStyle w:val="ListBullet"/>
      </w:pPr>
      <w:r>
        <w:t>Sessão autenticada é mantida somente em memória.</w:t>
      </w:r>
    </w:p>
    <w:p>
      <w:pPr>
        <w:pStyle w:val="ListBullet"/>
      </w:pPr>
      <w:r>
        <w:t>Tentativas repetidas de login causam bloqueio temporário.</w:t>
      </w:r>
    </w:p>
    <w:p>
      <w:pPr>
        <w:pStyle w:val="ListBullet"/>
      </w:pPr>
      <w:r>
        <w:t>nodeIntegration desativado; contextIsolation e sandbox ativados.</w:t>
      </w:r>
    </w:p>
    <w:p>
      <w:pPr>
        <w:pStyle w:val="ListBullet"/>
      </w:pPr>
      <w:r>
        <w:t>Navegação externa é bloqueada; somente HTTPS pode ser aberto pelo sistema.</w:t>
      </w:r>
    </w:p>
    <w:p>
      <w:pPr>
        <w:pStyle w:val="ListBullet"/>
      </w:pPr>
      <w:r>
        <w:t>É proibido desativar o próprio usuário autenticado ou remover o último administrador ativo.</w:t>
      </w:r>
    </w:p>
    <w:p>
      <w:pPr>
        <w:pStyle w:val="Heading1"/>
      </w:pPr>
      <w:r>
        <w:rPr>
          <w:b/>
          <w:color w:val="000000"/>
          <w:u w:val="none"/>
        </w:rPr>
        <w:t>7 Backup e restauração implementação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2100"/>
        <w:gridCol w:w="7260"/>
      </w:tblGrid>
      <w:tr>
        <w:trPr>
          <w:tblHeader w:val="true"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Item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Comportamento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Frequências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Diário, semanal ou ao sair; habilitação configurável.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Destino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Pasta selecionada pelo administrador; se ausente, subpasta backups do userData.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Arquivo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Cubexa-backup-&lt;data-hora&gt;-&lt;tipo&gt;.sqlite3.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Validação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Extensão .sqlite3, integrity_check e presença de companies, users e schema_migrations.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Evidência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Histórico com status, caminho, tamanho, horário e checksum SHA-256.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Retenção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1 a 100 cópias; arquivos antigos do mesmo diretório são removidos, exceto PRE_RESTORE.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Restauração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Cria PRE_RESTORE, encerra sessão, fecha banco, substitui arquivo, reabre, configura e executa migrações.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Falha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Tenta repor o PRE_RESTORE e informa seu caminho ao operador.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4D6"/>
          </w:tcPr>
          <w:p>
            <w:pPr>
              <w:spacing w:after="0"/>
            </w:pPr>
            <w:r>
              <w:rPr>
                <w:b/>
                <w:color w:val="7A5A00"/>
              </w:rPr>
              <w:t xml:space="preserve">Limite operacional: </w:t>
            </w:r>
            <w:r>
              <w:t>A rotina integrada grava em um único diretório configurado. A estratégia 3-2-1 deve ser completada com uma segunda cópia automatizada ou procedimento externo, sem manipular o banco em uso.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8 Instalação, build e release</w:t>
      </w:r>
    </w:p>
    <w:p>
      <w:pPr>
        <w:pStyle w:val="ListNumber"/>
      </w:pPr>
      <w:r>
        <w:t>Instale Windows 10/11, Node.js 22+, npm 10+ e ferramentas C++ quando o módulo nativo não tiver binário compatível.</w:t>
      </w:r>
    </w:p>
    <w:p>
      <w:pPr>
        <w:pStyle w:val="ListNumber"/>
      </w:pPr>
      <w:r>
        <w:t>Execute npm install. O postinstall reconstrói better-sqlite3 para a versão do Electron.</w:t>
      </w:r>
    </w:p>
    <w:p>
      <w:pPr>
        <w:pStyle w:val="ListNumber"/>
      </w:pPr>
      <w:r>
        <w:t>Execute npm run typecheck e npm run test.</w:t>
      </w:r>
    </w:p>
    <w:p>
      <w:pPr>
        <w:pStyle w:val="ListNumber"/>
      </w:pPr>
      <w:r>
        <w:t>Execute npm run build:renderer para validar a interface, ou npm run build para gerar o diretório empacotado.</w:t>
      </w:r>
    </w:p>
    <w:p>
      <w:pPr>
        <w:pStyle w:val="ListNumber"/>
      </w:pPr>
      <w:r>
        <w:t>Execute npm run dist:win para gerar o instalador NSIS em release/.</w:t>
      </w:r>
    </w:p>
    <w:p>
      <w:pPr>
        <w:pStyle w:val="ListNumber"/>
      </w:pPr>
      <w:r>
        <w:t>Distribua Cubexa-Setup-1.0.0.exe. Não distribua somente release/win-unpacked/Cubexa.exe, pois ele depende dos demais recursos do diretório.</w:t>
      </w:r>
    </w:p>
    <w:p>
      <w:pPr>
        <w:pStyle w:val="Heading1"/>
      </w:pPr>
      <w:r>
        <w:rPr>
          <w:b/>
          <w:color w:val="000000"/>
          <w:u w:val="none"/>
        </w:rPr>
        <w:t>9 Operação de desenvolvimento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3400"/>
        <w:gridCol w:w="5960"/>
      </w:tblGrid>
      <w:tr>
        <w:trPr>
          <w:tblHeader w:val="true"/>
        </w:trPr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Comando</w:t>
            </w:r>
          </w:p>
        </w:tc>
        <w:tc>
          <w:tcPr>
            <w:tcW w:type="dxa" w:w="5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Uso</w:t>
            </w:r>
          </w:p>
        </w:tc>
      </w:tr>
      <w:tr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npm run dev</w:t>
            </w:r>
          </w:p>
        </w:tc>
        <w:tc>
          <w:tcPr>
            <w:tcW w:type="dxa" w:w="5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Aplicativo desktop com banco local e runtime de licença.</w:t>
            </w:r>
          </w:p>
        </w:tc>
      </w:tr>
      <w:tr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$env:CUBEXA_DEMO_DATA='1'; npm run dev</w:t>
            </w:r>
          </w:p>
        </w:tc>
        <w:tc>
          <w:tcPr>
            <w:tcW w:type="dxa" w:w="5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Dados demonstrativos, somente desenvolvimento e apenas se não houver empresa.</w:t>
            </w:r>
          </w:p>
        </w:tc>
      </w:tr>
      <w:tr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npm run dev:web</w:t>
            </w:r>
          </w:p>
        </w:tc>
        <w:tc>
          <w:tcPr>
            <w:tcW w:type="dxa" w:w="5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Prévia no navegador com snapshot em memória e sem banco.</w:t>
            </w:r>
          </w:p>
        </w:tc>
      </w:tr>
      <w:tr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npm run check</w:t>
            </w:r>
          </w:p>
        </w:tc>
        <w:tc>
          <w:tcPr>
            <w:tcW w:type="dxa" w:w="5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Typecheck seguido dos testes.</w:t>
            </w:r>
          </w:p>
        </w:tc>
      </w:tr>
      <w:tr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npm run dist:win</w:t>
            </w:r>
          </w:p>
        </w:tc>
        <w:tc>
          <w:tcPr>
            <w:tcW w:type="dxa" w:w="5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Instalador Windows NSIS.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10 Testes e critérios de aceite</w:t>
      </w:r>
    </w:p>
    <w:p>
      <w:pPr>
        <w:pStyle w:val="ListBullet"/>
      </w:pPr>
      <w:r>
        <w:t>Executar as suites de database, errors, catalog, movements, purchasing, sales, inventory, stock-control, reporting, administration e branding.</w:t>
      </w:r>
    </w:p>
    <w:p>
      <w:pPr>
        <w:pStyle w:val="ListBullet"/>
      </w:pPr>
      <w:r>
        <w:t>Validar migração de uma base anterior em cópia descartável.</w:t>
      </w:r>
    </w:p>
    <w:p>
      <w:pPr>
        <w:pStyle w:val="ListBullet"/>
      </w:pPr>
      <w:r>
        <w:t>Testar backup manual, backup agendado e restauração com arquivo válido e inválido.</w:t>
      </w:r>
    </w:p>
    <w:p>
      <w:pPr>
        <w:pStyle w:val="ListBullet"/>
      </w:pPr>
      <w:r>
        <w:t>Confirmar permissões nas duas camadas: visibilidade da UI e recusa no IPC/serviço.</w:t>
      </w:r>
    </w:p>
    <w:p>
      <w:pPr>
        <w:pStyle w:val="ListBullet"/>
      </w:pPr>
      <w:r>
        <w:t>Realizar smoke test de criação de produto → compra/recebimento → venda → inventário → relatório.</w:t>
      </w:r>
    </w:p>
    <w:p>
      <w:pPr>
        <w:pStyle w:val="ListBullet"/>
      </w:pPr>
      <w:r>
        <w:t>Gerar e conferir PDF, XLSX e CSV com os mesmos filtros exibidos na tela.</w:t>
      </w:r>
    </w:p>
    <w:p>
      <w:pPr>
        <w:pStyle w:val="Heading1"/>
      </w:pPr>
      <w:r>
        <w:rPr>
          <w:b/>
          <w:color w:val="000000"/>
          <w:u w:val="none"/>
        </w:rPr>
        <w:t>11 Diagnóstico e suporte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Sintoma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Verificação inicial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Aplicativo não inicia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Integridade do SQLite, permissões no userData e logs de inicialização.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Banco ocupado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Outra instância/processo, antivirus ou sincronizador operando no arquivo ativo; aguardar busy_timeout.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Saldo inesperado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Histórico de movimentos, estornos, lotes e auditoria; nunca editar o SQLite manualmente.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Backup falha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Existência/permissão da pasta, espaço livre, disponibilidade da unidade externa e histórico de backup.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Restauração recusada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Extensão, integrity_check e tabelas mínimas esperadas.</w:t>
            </w:r>
          </w:p>
        </w:tc>
      </w:tr>
      <w:t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Usuário bloqueado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Aguardar bloqueio temporário ou usar recuperação local do administrador conforme procedimento autorizado.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12 Manutenção e evolução</w:t>
      </w:r>
    </w:p>
    <w:p>
      <w:pPr>
        <w:pStyle w:val="ListBullet"/>
      </w:pPr>
      <w:r>
        <w:t>Preservar compatibilidade com nomes internos legados até existir migração formal e testada.</w:t>
      </w:r>
    </w:p>
    <w:p>
      <w:pPr>
        <w:pStyle w:val="ListBullet"/>
      </w:pPr>
      <w:r>
        <w:t>Toda alteração de schema deve ser uma nova migração idempotente e transacional; nunca editar uma migração já publicada.</w:t>
      </w:r>
    </w:p>
    <w:p>
      <w:pPr>
        <w:pStyle w:val="ListBullet"/>
      </w:pPr>
      <w:r>
        <w:t>Novos fluxos de estoque devem chamar a engine central, não atualizar saldos diretamente.</w:t>
      </w:r>
    </w:p>
    <w:p>
      <w:pPr>
        <w:pStyle w:val="ListBullet"/>
      </w:pPr>
      <w:r>
        <w:t>Novos canais IPC devem ser mínimos, tipados, validados e autorizados no processo principal.</w:t>
      </w:r>
    </w:p>
    <w:p>
      <w:pPr>
        <w:pStyle w:val="ListBullet"/>
      </w:pPr>
      <w:r>
        <w:t>Antes de atualizar um cliente, criar backup, registrar a versão e manter o instalador anterior durante a janela de validação.</w:t>
      </w:r>
    </w:p>
    <w:p>
      <w:pPr>
        <w:pStyle w:val="Heading1"/>
      </w:pPr>
      <w:r>
        <w:rPr>
          <w:b/>
          <w:color w:val="000000"/>
          <w:u w:val="none"/>
        </w:rPr>
        <w:t>Apêndice A Checklist de release 1 2 0</w:t>
      </w:r>
    </w:p>
    <w:p>
      <w:pPr>
        <w:pStyle w:val="ListBullet"/>
      </w:pPr>
      <w:r>
        <w:t>Versão de package.json e nome do artefato conferidos.</w:t>
      </w:r>
    </w:p>
    <w:p>
      <w:pPr>
        <w:pStyle w:val="ListBullet"/>
      </w:pPr>
      <w:r>
        <w:t>Typecheck e testes aprovados.</w:t>
      </w:r>
    </w:p>
    <w:p>
      <w:pPr>
        <w:pStyle w:val="ListBullet"/>
      </w:pPr>
      <w:r>
        <w:t>Migração e primeira inicialização validadas.</w:t>
      </w:r>
    </w:p>
    <w:p>
      <w:pPr>
        <w:pStyle w:val="ListBullet"/>
      </w:pPr>
      <w:r>
        <w:t>Perfis e recuperação de senha testados.</w:t>
      </w:r>
    </w:p>
    <w:p>
      <w:pPr>
        <w:pStyle w:val="ListBullet"/>
      </w:pPr>
      <w:r>
        <w:t>Backup/restauração testados em diretório local e unidade externa.</w:t>
      </w:r>
    </w:p>
    <w:p>
      <w:pPr>
        <w:pStyle w:val="ListBullet"/>
      </w:pPr>
      <w:r>
        <w:t>Instalador assinado/verificado conforme processo da organização.</w:t>
      </w:r>
    </w:p>
    <w:p>
      <w:pPr>
        <w:pStyle w:val="ListBullet"/>
      </w:pPr>
      <w:r>
        <w:t>Manual de uso e documentação técnica entregues junto ao instalador.</w:t>
      </w:r>
    </w:p>
    <w:p>
      <w:pPr>
        <w:pStyle w:val="Heading1"/>
      </w:pPr>
      <w:r>
        <w:rPr>
          <w:b/>
          <w:color w:val="000000"/>
          <w:u w:val="none"/>
        </w:rPr>
        <w:t>13 Licenciamento e capacidades comerciais</w:t>
      </w:r>
    </w:p>
    <w:p>
      <w:pPr>
        <w:pStyle w:val="ListBullet"/>
      </w:pPr>
      <w:r>
        <w:t>A Demo tem 90 dias. O estado local pode ser sincronizado sem ampliar o prazo por reinstalação ou conexão tardia.</w:t>
      </w:r>
    </w:p>
    <w:p>
      <w:pPr>
        <w:pStyle w:val="ListBullet"/>
      </w:pPr>
      <w:r>
        <w:t>Os planos Demo e Básico aplicam limites de produtos e usuários. O Profissional libera capacidades adicionais, incluindo crediário e e-mail de fechamento.</w:t>
      </w:r>
    </w:p>
    <w:p>
      <w:pPr>
        <w:pStyle w:val="ListBullet"/>
      </w:pPr>
      <w:r>
        <w:t>O certificado é assinado com Ed25519, vinculado ao hash do dispositivo e validado antes da persistência. A chave privada não acompanha o desktop.</w:t>
      </w:r>
    </w:p>
    <w:p>
      <w:pPr>
        <w:pStyle w:val="ListBullet"/>
      </w:pPr>
      <w:r>
        <w:t>Expiração, suspensão ou revogação preservam login, consultas, relatórios, exportações e backups. Os serviços de aplicação bloqueiam novas gravações.</w:t>
      </w:r>
    </w:p>
    <w:p>
      <w:pPr>
        <w:pStyle w:val="ListBullet"/>
      </w:pPr>
      <w:r>
        <w:t>O banco de licença fica separado do banco comercial e não é transportado por backups de estoque.</w:t>
      </w:r>
    </w:p>
    <w:p>
      <w:pPr>
        <w:pStyle w:val="Heading1"/>
      </w:pPr>
      <w:r>
        <w:rPr>
          <w:b/>
          <w:color w:val="000000"/>
          <w:u w:val="none"/>
        </w:rPr>
        <w:t>14 Instalação e armazenamento</w:t>
      </w:r>
    </w:p>
    <w:p>
      <w:pPr>
        <w:pStyle w:val="ListBullet"/>
      </w:pPr>
      <w:r>
        <w:t>No modo Normal, os dados comerciais ficam no perfil do Windows. No modo Portátil, ficam em CubexaData junto do aplicativo.</w:t>
      </w:r>
    </w:p>
    <w:p>
      <w:pPr>
        <w:pStyle w:val="ListBullet"/>
      </w:pPr>
      <w:r>
        <w:t>Licença e perfis locais de dispositivo permanecem no Windows nos dois modos.</w:t>
      </w:r>
    </w:p>
    <w:p>
      <w:pPr>
        <w:pStyle w:val="ListBullet"/>
      </w:pPr>
      <w:r>
        <w:t>O marcador portátil, a sentinela de dados e o bloqueio de pasta impedem criação silenciosa de outra base e uso simultâneo da mesma pasta.</w:t>
      </w:r>
    </w:p>
    <w:p>
      <w:pPr>
        <w:pStyle w:val="ListBullet"/>
      </w:pPr>
      <w:r>
        <w:t>Antes de aplicar migrações, a API SQLite cria um snapshot que inclui transações confirmadas no WAL, executa integrity_check e grava um manifesto SHA-256.</w:t>
      </w:r>
    </w:p>
    <w:p>
      <w:pPr>
        <w:pStyle w:val="ListBullet"/>
      </w:pPr>
      <w:r>
        <w:t>Atualização e desinstalação preservam dados. A remoção de um dispositivo portátil durante a operação interrompe o acesso e exige reconexão antes de reabrir.</w:t>
      </w:r>
    </w:p>
    <w:p>
      <w:pPr>
        <w:pStyle w:val="Heading1"/>
      </w:pPr>
      <w:r>
        <w:rPr>
          <w:b/>
          <w:color w:val="000000"/>
          <w:u w:val="none"/>
        </w:rPr>
        <w:t>15 Documentos impressão PDV e caixa</w:t>
      </w:r>
    </w:p>
    <w:p>
      <w:pPr>
        <w:pStyle w:val="ListBullet"/>
      </w:pPr>
      <w:r>
        <w:t>Pedidos e comprovantes usam snapshots versionados para preservar o conteúdo histórico depois de alterações cadastrais.</w:t>
      </w:r>
    </w:p>
    <w:p>
      <w:pPr>
        <w:pStyle w:val="ListBullet"/>
      </w:pPr>
      <w:r>
        <w:t>O PDV finaliza venda, estoque, lotes, pagamentos, caixa, comprovante e auditoria na mesma transação. request_id impede repetição da operação.</w:t>
      </w:r>
    </w:p>
    <w:p>
      <w:pPr>
        <w:pStyle w:val="ListBullet"/>
      </w:pPr>
      <w:r>
        <w:t>Pagamentos podem ser divididos. O troco considera o valor recebido em dinheiro e requer caixa aberto no computador do operador.</w:t>
      </w:r>
    </w:p>
    <w:p>
      <w:pPr>
        <w:pStyle w:val="ListBullet"/>
      </w:pPr>
      <w:r>
        <w:t>Perfis de impressão são locais ao dispositivo. PDF funciona offline e sem impressora; a impressão depende do driver e da confirmação do usuário.</w:t>
      </w:r>
    </w:p>
    <w:p>
      <w:pPr>
        <w:pStyle w:val="ListBullet"/>
      </w:pPr>
      <w:r>
        <w:t>O fechamento diário usa competência explícita, revisão auditada, PDF gerencial e fila SMTP com retry e proteção contra duplicação.</w:t>
      </w:r>
    </w:p>
    <w:p>
      <w:pPr>
        <w:pStyle w:val="Heading1"/>
      </w:pPr>
      <w:r>
        <w:rPr>
          <w:b/>
          <w:color w:val="000000"/>
          <w:u w:val="none"/>
        </w:rPr>
        <w:t>16 Manufatura crediário e transformações</w:t>
      </w:r>
    </w:p>
    <w:p>
      <w:pPr>
        <w:pStyle w:val="ListBullet"/>
      </w:pPr>
      <w:r>
        <w:t>Manufatura usa receitas versionadas e ordens em Rascunho, Emitida, Concluída ou Cancelada. A conclusão consome insumos por FEFO e calcula o custo real.</w:t>
      </w:r>
    </w:p>
    <w:p>
      <w:pPr>
        <w:pStyle w:val="ListBullet"/>
      </w:pPr>
      <w:r>
        <w:t>Crediário exige cliente ativo, registra entrada, parcelas, vencimentos, recebimentos e estornos. Operações de escrita dependem do plano Profissional.</w:t>
      </w:r>
    </w:p>
    <w:p>
      <w:pPr>
        <w:pStyle w:val="ListBullet"/>
      </w:pPr>
      <w:r>
        <w:t>Transformações convertem uma variante em outra com fator, perda técnica, baixa explícita de valor e custo adicional.</w:t>
      </w:r>
    </w:p>
    <w:p>
      <w:pPr>
        <w:pStyle w:val="ListBullet"/>
      </w:pPr>
      <w:r>
        <w:t>Produção e transformação bloqueiam saldo insuficiente mesmo quando a política geral permite estoque negativo.</w:t>
      </w:r>
    </w:p>
    <w:p>
      <w:pPr>
        <w:pStyle w:val="ListBullet"/>
      </w:pPr>
      <w:r>
        <w:t>Os módulos preservam movimentos, lotes, custos e genealogia para auditoria e estorno integral.</w:t>
      </w:r>
    </w:p>
    <w:p>
      <w:pPr>
        <w:pStyle w:val="Heading1"/>
      </w:pPr>
      <w:r>
        <w:rPr>
          <w:b/>
          <w:color w:val="000000"/>
          <w:u w:val="none"/>
        </w:rPr>
        <w:t>Apêndice B Validação da versão 1 2 0</w:t>
      </w:r>
    </w:p>
    <w:p>
      <w:pPr>
        <w:pStyle w:val="ListBullet"/>
      </w:pPr>
      <w:r>
        <w:t>TypeScript Desktop e Worker, renderer, main e preload compilados no pacote final.</w:t>
      </w:r>
    </w:p>
    <w:p>
      <w:pPr>
        <w:pStyle w:val="ListBullet"/>
      </w:pPr>
      <w:r>
        <w:t>307 testes aprovados em 38 arquivos.</w:t>
      </w:r>
    </w:p>
    <w:p>
      <w:pPr>
        <w:pStyle w:val="ListBullet"/>
      </w:pPr>
      <w:r>
        <w:t>Migração de base 1.1.1 das versões 008 a 016 validada nos modos Normal e Portátil, com dados, imagens, saldos e chaves estrangeiras preservados.</w:t>
      </w:r>
    </w:p>
    <w:p>
      <w:pPr>
        <w:pStyle w:val="ListBullet"/>
      </w:pPr>
      <w:r>
        <w:t>Fluxo do instalador, aceite obrigatório dos termos, reinstalação e desinstalação validados em dados isolados.</w:t>
      </w:r>
    </w:p>
    <w:p>
      <w:pPr>
        <w:pStyle w:val="ListBullet"/>
      </w:pPr>
      <w:r>
        <w:t>Instalador Windows x64, checksum SHA-256 e relatório de validação gerados em release.</w:t>
      </w:r>
    </w:p>
    <w:p>
      <w:pPr>
        <w:pStyle w:val="ListBullet"/>
      </w:pPr>
      <w:r>
        <w:t>Impressão física e variedade de hardware permanecem como itens de homologação no ambiente de destino.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Versão 1.2.0  •  Setembro de 2026  • 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7"/>
      </w:rPr>
      <w:t>CUBEXA  |  DOCUMENTAÇÃO TÉCNICA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0262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6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Documentação Técnica da Cubexa Versão 1.2.0</dc:title>
  <dc:subject>Arquitetura, implantação, segurança e manutenção</dc:subject>
  <dc:creator>Cubexa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